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5B4AD057"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sidRPr="00EC5C69">
        <w:rPr>
          <w:rFonts w:ascii="Times New Roman" w:hAnsi="Times New Roman"/>
          <w:sz w:val="24"/>
          <w:szCs w:val="24"/>
        </w:rPr>
        <w:t>от «</w:t>
      </w:r>
      <w:r w:rsidR="0001401D">
        <w:rPr>
          <w:rFonts w:ascii="Times New Roman" w:hAnsi="Times New Roman"/>
          <w:sz w:val="24"/>
          <w:szCs w:val="24"/>
        </w:rPr>
        <w:t>27</w:t>
      </w:r>
      <w:r w:rsidRPr="00EC5C69">
        <w:rPr>
          <w:rFonts w:ascii="Times New Roman" w:hAnsi="Times New Roman"/>
          <w:sz w:val="24"/>
          <w:szCs w:val="24"/>
        </w:rPr>
        <w:t xml:space="preserve">» </w:t>
      </w:r>
      <w:r w:rsidR="0001401D">
        <w:rPr>
          <w:rFonts w:ascii="Times New Roman" w:hAnsi="Times New Roman"/>
          <w:sz w:val="24"/>
          <w:szCs w:val="24"/>
        </w:rPr>
        <w:t>февраля</w:t>
      </w:r>
      <w:r w:rsidRPr="00EC5C69">
        <w:rPr>
          <w:rFonts w:ascii="Times New Roman" w:hAnsi="Times New Roman"/>
          <w:sz w:val="24"/>
          <w:szCs w:val="24"/>
        </w:rPr>
        <w:t xml:space="preserve"> 202</w:t>
      </w:r>
      <w:r w:rsidR="0001401D">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272B6BB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1401D">
        <w:rPr>
          <w:rFonts w:ascii="Times New Roman" w:hAnsi="Times New Roman"/>
          <w:b/>
          <w:bCs/>
        </w:rPr>
        <w:t>2</w:t>
      </w:r>
    </w:p>
    <w:p w14:paraId="43A721EF" w14:textId="3FA0A11A" w:rsidR="00D4740A" w:rsidRDefault="00D4740A" w:rsidP="0001401D">
      <w:pPr>
        <w:ind w:left="142"/>
        <w:jc w:val="both"/>
        <w:rPr>
          <w:rFonts w:ascii="Times New Roman" w:hAnsi="Times New Roman"/>
          <w:sz w:val="24"/>
          <w:szCs w:val="24"/>
        </w:rPr>
      </w:pPr>
      <w:r w:rsidRPr="0001401D">
        <w:rPr>
          <w:rFonts w:ascii="Times New Roman" w:hAnsi="Times New Roman"/>
          <w:sz w:val="24"/>
          <w:szCs w:val="24"/>
        </w:rPr>
        <w:t xml:space="preserve">Выполнение </w:t>
      </w:r>
      <w:r w:rsidR="0001401D" w:rsidRPr="0001401D">
        <w:rPr>
          <w:rFonts w:ascii="Times New Roman" w:hAnsi="Times New Roman"/>
          <w:sz w:val="24"/>
          <w:szCs w:val="24"/>
        </w:rPr>
        <w:t xml:space="preserve">комплекса работ по проведению экспертиз промышленной безопасности по опасным производственным объектам </w:t>
      </w:r>
      <w:r w:rsidR="0001401D" w:rsidRPr="0001401D">
        <w:rPr>
          <w:rFonts w:ascii="Times New Roman" w:hAnsi="Times New Roman"/>
          <w:sz w:val="24"/>
          <w:szCs w:val="24"/>
          <w:lang w:val="en-US"/>
        </w:rPr>
        <w:t>III</w:t>
      </w:r>
      <w:r w:rsidR="0001401D" w:rsidRPr="0001401D">
        <w:rPr>
          <w:rFonts w:ascii="Times New Roman" w:hAnsi="Times New Roman"/>
          <w:sz w:val="24"/>
          <w:szCs w:val="24"/>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«Выборгтеплоэнерго» в границах МО «Город Выборг» и  МО «Выборгский район» Ленинградской области в 2025 г</w:t>
      </w:r>
      <w:r w:rsidRPr="0001401D">
        <w:rPr>
          <w:rFonts w:ascii="Times New Roman" w:hAnsi="Times New Roman"/>
          <w:sz w:val="24"/>
          <w:szCs w:val="24"/>
        </w:rPr>
        <w:t>.</w:t>
      </w:r>
    </w:p>
    <w:p w14:paraId="550C25FC" w14:textId="77777777" w:rsidR="0001401D" w:rsidRPr="0001401D" w:rsidRDefault="0001401D" w:rsidP="0001401D">
      <w:pPr>
        <w:ind w:left="142"/>
        <w:jc w:val="both"/>
        <w:rPr>
          <w:rFonts w:ascii="Times New Roman" w:hAnsi="Times New Roman"/>
          <w:bCs/>
          <w:sz w:val="24"/>
          <w:szCs w:val="24"/>
        </w:rPr>
      </w:pPr>
    </w:p>
    <w:p w14:paraId="3EF4FF04" w14:textId="1F7935AE"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4E1A1401" w14:textId="77777777" w:rsidR="0001401D" w:rsidRDefault="0001401D" w:rsidP="00EC5C69">
      <w:pPr>
        <w:ind w:right="-1"/>
        <w:jc w:val="both"/>
        <w:rPr>
          <w:rFonts w:ascii="Times New Roman" w:hAnsi="Times New Roman"/>
          <w:b/>
          <w:i/>
        </w:rPr>
      </w:pPr>
    </w:p>
    <w:p w14:paraId="597E53F0" w14:textId="77777777" w:rsidR="0001401D" w:rsidRDefault="0001401D" w:rsidP="00EC5C69">
      <w:pPr>
        <w:ind w:right="-1"/>
        <w:jc w:val="both"/>
        <w:rPr>
          <w:rFonts w:ascii="Times New Roman" w:hAnsi="Times New Roman"/>
          <w:b/>
          <w:i/>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218F6BA" w:rsidR="00EC5C69" w:rsidRDefault="00EC5C69" w:rsidP="00EC5C69">
      <w:pPr>
        <w:pStyle w:val="110"/>
        <w:keepNext w:val="0"/>
        <w:rPr>
          <w:szCs w:val="24"/>
        </w:rPr>
      </w:pPr>
      <w:r w:rsidRPr="00C0407C">
        <w:rPr>
          <w:szCs w:val="24"/>
        </w:rPr>
        <w:t>20</w:t>
      </w:r>
      <w:r>
        <w:rPr>
          <w:szCs w:val="24"/>
        </w:rPr>
        <w:t>2</w:t>
      </w:r>
      <w:r w:rsidR="0001401D">
        <w:rPr>
          <w:szCs w:val="24"/>
        </w:rPr>
        <w:t>5</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7"/>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102E5">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102E5">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102E5">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102E5">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102E5">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102E5">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102E5">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102E5">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102E5">
        <w:t>7</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102E5">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102E5">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102E5">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102E5">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102E5">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102E5">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102E5">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102E5">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102E5">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102E5">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102E5">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102E5">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102E5">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102E5">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102E5">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102E5">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102E5">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102E5">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102E5">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40" w:name="_Ref409636113"/>
      <w:bookmarkStart w:id="241"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40"/>
    </w:p>
    <w:p w14:paraId="3FB067D8" w14:textId="3E6893F5" w:rsidR="00A55A9B" w:rsidRPr="00A55A9B" w:rsidRDefault="00A55A9B" w:rsidP="00CD1E88">
      <w:pPr>
        <w:pStyle w:val="a2"/>
      </w:pPr>
      <w:r w:rsidRPr="00A55A9B">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w:t>
      </w:r>
      <w:r w:rsidR="00E13BB8">
        <w:tab/>
        <w:t>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102E5">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102E5">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102E5">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102E5">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102E5">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102E5">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102E5">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102E5">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102E5">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102E5">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102E5">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102E5">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102E5">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102E5">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102E5">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102E5">
        <w:t>4.14.5</w:t>
      </w:r>
      <w:r>
        <w:fldChar w:fldCharType="end"/>
      </w:r>
      <w:r>
        <w:t xml:space="preserve"> - </w:t>
      </w:r>
      <w:r>
        <w:fldChar w:fldCharType="begin"/>
      </w:r>
      <w:r>
        <w:instrText xml:space="preserve"> REF _Ref66348084 \r \h </w:instrText>
      </w:r>
      <w:r>
        <w:fldChar w:fldCharType="separate"/>
      </w:r>
      <w:r w:rsidR="00B102E5">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102E5">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102E5">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102E5">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102E5">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102E5">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102E5">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102E5">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102E5">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102E5">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102E5">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AD6451" w:rsidP="006B4A30">
      <w:pPr>
        <w:pStyle w:val="a1"/>
        <w:numPr>
          <w:ilvl w:val="0"/>
          <w:numId w:val="0"/>
        </w:numPr>
        <w:ind w:left="284"/>
        <w:rPr>
          <w:bCs/>
        </w:rPr>
      </w:pPr>
      <w:hyperlink r:id="rId9" w:history="1">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0" w:history="1">
        <w:r w:rsidR="006B4A30" w:rsidRPr="003E48FC">
          <w:rPr>
            <w:rStyle w:val="affd"/>
          </w:rPr>
          <w:t>форма</w:t>
        </w:r>
      </w:hyperlink>
      <w:r w:rsidR="006B4A30" w:rsidRPr="003E48FC">
        <w:t xml:space="preserve"> годового отчета о закупке у субъектов малого и среднего предпринимательства и </w:t>
      </w:r>
      <w:hyperlink r:id="rId11" w:history="1">
        <w:r w:rsidR="006B4A30" w:rsidRPr="003E48FC">
          <w:rPr>
            <w:rStyle w:val="affd"/>
          </w:rPr>
          <w:t>требования</w:t>
        </w:r>
      </w:hyperlink>
      <w:r w:rsidR="006B4A30" w:rsidRPr="003E48FC">
        <w:t xml:space="preserve"> к содержанию этого отчета.4.17.2 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2"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3"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2) несоответствие сведений об участнике закупки в декларации критериям отнесения к СМСП, установленным в </w:t>
      </w:r>
      <w:hyperlink r:id="rId14"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77D917EE" w:rsidR="00224767" w:rsidRPr="006E7AE0" w:rsidRDefault="00224767" w:rsidP="00E30AA6">
      <w:pPr>
        <w:pStyle w:val="a1"/>
      </w:pPr>
      <w:bookmarkStart w:id="394"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102E5">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102E5">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102E5">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102E5">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5C61318" w14:textId="6CCE3DE6" w:rsidR="0075298C" w:rsidRPr="0001401D" w:rsidRDefault="00D4740A" w:rsidP="0001401D">
            <w:pPr>
              <w:jc w:val="both"/>
              <w:rPr>
                <w:rFonts w:ascii="Times New Roman" w:hAnsi="Times New Roman"/>
                <w:sz w:val="22"/>
                <w:szCs w:val="22"/>
              </w:rPr>
            </w:pPr>
            <w:r w:rsidRPr="0001401D">
              <w:rPr>
                <w:rFonts w:ascii="Times New Roman" w:hAnsi="Times New Roman"/>
                <w:sz w:val="22"/>
                <w:szCs w:val="22"/>
              </w:rPr>
              <w:t xml:space="preserve">Выполнение </w:t>
            </w:r>
            <w:r w:rsidR="0001401D" w:rsidRPr="0001401D">
              <w:rPr>
                <w:rFonts w:ascii="Times New Roman" w:hAnsi="Times New Roman"/>
                <w:sz w:val="22"/>
                <w:szCs w:val="22"/>
              </w:rPr>
              <w:t xml:space="preserve">комплекса работ по проведению экспертиз промышленной безопасности по опасным производственным объектам </w:t>
            </w:r>
            <w:r w:rsidR="0001401D" w:rsidRPr="0001401D">
              <w:rPr>
                <w:rFonts w:ascii="Times New Roman" w:hAnsi="Times New Roman"/>
                <w:sz w:val="22"/>
                <w:szCs w:val="22"/>
                <w:lang w:val="en-US"/>
              </w:rPr>
              <w:t>III</w:t>
            </w:r>
            <w:r w:rsidR="0001401D" w:rsidRPr="0001401D">
              <w:rPr>
                <w:rFonts w:ascii="Times New Roman" w:hAnsi="Times New Roman"/>
                <w:sz w:val="22"/>
                <w:szCs w:val="22"/>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«Выборгтеплоэнерго» в границах МО «Город Выборг» и  МО «Выборгский район» Ленинградской области в 2025 г</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5"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192F66C" w:rsidR="0075298C" w:rsidRPr="008D5CF4" w:rsidRDefault="00622479" w:rsidP="00A6012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A51492">
              <w:rPr>
                <w:rFonts w:ascii="Times New Roman" w:hAnsi="Times New Roman"/>
                <w:bCs/>
                <w:sz w:val="22"/>
                <w:szCs w:val="22"/>
              </w:rPr>
              <w:t>Тунгусков</w:t>
            </w:r>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A60121">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6"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7" w:history="1">
              <w:r w:rsidR="00622479" w:rsidRPr="00622479">
                <w:rPr>
                  <w:rStyle w:val="affd"/>
                  <w:rFonts w:ascii="Times New Roman" w:hAnsi="Times New Roman"/>
                  <w:sz w:val="22"/>
                  <w:szCs w:val="22"/>
                </w:rPr>
                <w:t>https://</w:t>
              </w:r>
              <w:r w:rsidR="00622479" w:rsidRPr="00622479">
                <w:rPr>
                  <w:rStyle w:val="affd"/>
                  <w:rFonts w:ascii="Times New Roman" w:hAnsi="Times New Roman"/>
                  <w:sz w:val="22"/>
                  <w:szCs w:val="22"/>
                  <w:lang w:val="en-US"/>
                </w:rPr>
                <w:t>rts</w:t>
              </w:r>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C00AA52" w:rsidR="00622479" w:rsidRPr="002942CD" w:rsidRDefault="0001401D" w:rsidP="00622479">
            <w:pPr>
              <w:pStyle w:val="3f0"/>
              <w:ind w:left="0"/>
              <w:rPr>
                <w:b/>
              </w:rPr>
            </w:pPr>
            <w:r>
              <w:rPr>
                <w:b/>
              </w:rPr>
              <w:t>580</w:t>
            </w:r>
            <w:r w:rsidR="00AF535E">
              <w:rPr>
                <w:b/>
              </w:rPr>
              <w:t> 000</w:t>
            </w:r>
            <w:r w:rsidR="00622479" w:rsidRPr="002942CD">
              <w:rPr>
                <w:b/>
              </w:rPr>
              <w:t xml:space="preserve"> руб. 00 коп., 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2A9C8609" w14:textId="77777777" w:rsidR="00D14A5D" w:rsidRPr="00D14A5D" w:rsidRDefault="00D14A5D" w:rsidP="00D14A5D">
            <w:pPr>
              <w:jc w:val="both"/>
              <w:rPr>
                <w:rFonts w:ascii="Times New Roman" w:hAnsi="Times New Roman"/>
                <w:sz w:val="22"/>
                <w:szCs w:val="22"/>
              </w:rPr>
            </w:pPr>
            <w:r w:rsidRPr="00D14A5D">
              <w:rPr>
                <w:rFonts w:ascii="Times New Roman" w:hAnsi="Times New Roman"/>
                <w:sz w:val="22"/>
                <w:szCs w:val="22"/>
              </w:rPr>
              <w:t>Авансирование в размере 10% договорной стоимости.</w:t>
            </w:r>
          </w:p>
          <w:p w14:paraId="3F9A1D68" w14:textId="78A5EE8B" w:rsidR="0025417E" w:rsidRPr="00C54659" w:rsidRDefault="00D14A5D" w:rsidP="00D14A5D">
            <w:pPr>
              <w:spacing w:after="0" w:line="240" w:lineRule="auto"/>
              <w:rPr>
                <w:rFonts w:ascii="Times New Roman" w:hAnsi="Times New Roman"/>
                <w:sz w:val="22"/>
                <w:szCs w:val="22"/>
              </w:rPr>
            </w:pPr>
            <w:r w:rsidRPr="00D14A5D">
              <w:rPr>
                <w:rFonts w:ascii="Times New Roman" w:hAnsi="Times New Roman"/>
                <w:sz w:val="22"/>
                <w:szCs w:val="22"/>
              </w:rPr>
              <w:t>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90% договорной стоимости, либо при закрытии работ этапами пообъектно с предоставлением необходимых бухгалтерских документов и подписанных обеими сторонами в установленном порядке</w:t>
            </w:r>
            <w:r w:rsidR="0025417E" w:rsidRPr="00D14A5D">
              <w:rPr>
                <w:rFonts w:ascii="Times New Roman" w:hAnsi="Times New Roman"/>
                <w:sz w:val="22"/>
                <w:szCs w:val="22"/>
              </w:rPr>
              <w:t>.</w:t>
            </w:r>
          </w:p>
        </w:tc>
      </w:tr>
      <w:tr w:rsidR="0025417E" w:rsidRPr="008D5CF4" w14:paraId="1DD6FB11" w14:textId="77777777" w:rsidTr="00254C26">
        <w:trPr>
          <w:trHeight w:val="57"/>
        </w:trPr>
        <w:tc>
          <w:tcPr>
            <w:tcW w:w="568" w:type="dxa"/>
            <w:vMerge/>
            <w:shd w:val="clear" w:color="auto" w:fill="auto"/>
          </w:tcPr>
          <w:p w14:paraId="096DA5A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Pr>
          <w:p w14:paraId="67680D66" w14:textId="146FDB26" w:rsidR="0025417E" w:rsidRPr="0025417E" w:rsidRDefault="0025417E" w:rsidP="0025417E">
            <w:pPr>
              <w:spacing w:after="0" w:line="240" w:lineRule="auto"/>
              <w:rPr>
                <w:rFonts w:ascii="Times New Roman" w:hAnsi="Times New Roman"/>
                <w:sz w:val="22"/>
                <w:szCs w:val="22"/>
              </w:rPr>
            </w:pPr>
            <w:r w:rsidRPr="0025417E">
              <w:rPr>
                <w:rFonts w:ascii="Times New Roman" w:hAnsi="Times New Roman"/>
                <w:bCs/>
                <w:sz w:val="22"/>
                <w:szCs w:val="22"/>
              </w:rPr>
              <w:t xml:space="preserve">Срок выполнения работ: </w:t>
            </w:r>
            <w:r w:rsidRPr="0025417E">
              <w:rPr>
                <w:rFonts w:ascii="Times New Roman" w:hAnsi="Times New Roman"/>
                <w:sz w:val="22"/>
                <w:szCs w:val="22"/>
              </w:rPr>
              <w:t>пообъектно не должен превышать 10 календарных дней с даты готовности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технического задания и приезда на объект представителя (ей) экспертной организации.</w:t>
            </w:r>
          </w:p>
        </w:tc>
      </w:tr>
      <w:tr w:rsidR="0025417E" w:rsidRPr="008D5CF4" w14:paraId="6429D1DC" w14:textId="77777777" w:rsidTr="00254C26">
        <w:trPr>
          <w:trHeight w:val="57"/>
        </w:trPr>
        <w:tc>
          <w:tcPr>
            <w:tcW w:w="568" w:type="dxa"/>
            <w:shd w:val="clear" w:color="auto" w:fill="auto"/>
          </w:tcPr>
          <w:p w14:paraId="5B6A7C1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25417E" w:rsidRPr="0025417E" w:rsidRDefault="0025417E" w:rsidP="0025417E">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 xml:space="preserve">Описание продукции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B102E5">
              <w:rPr>
                <w:rFonts w:ascii="Times New Roman" w:hAnsi="Times New Roman"/>
                <w:sz w:val="22"/>
                <w:szCs w:val="22"/>
              </w:rPr>
              <w:t>7.2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25417E" w:rsidRPr="008D5CF4" w14:paraId="6294A33D" w14:textId="77777777" w:rsidTr="00133A1B">
        <w:trPr>
          <w:trHeight w:val="1703"/>
        </w:trPr>
        <w:tc>
          <w:tcPr>
            <w:tcW w:w="568" w:type="dxa"/>
            <w:shd w:val="clear" w:color="auto" w:fill="auto"/>
          </w:tcPr>
          <w:p w14:paraId="3364E23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7BD47C" w14:textId="77777777" w:rsidR="0025417E" w:rsidRPr="00DB58C6" w:rsidRDefault="0025417E" w:rsidP="0025417E">
            <w:pPr>
              <w:spacing w:after="0" w:line="240" w:lineRule="auto"/>
              <w:rPr>
                <w:rFonts w:ascii="Times New Roman" w:hAnsi="Times New Roman"/>
                <w:sz w:val="20"/>
                <w:szCs w:val="20"/>
              </w:rPr>
            </w:pPr>
          </w:p>
          <w:p w14:paraId="5E364226" w14:textId="0B7CA200"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(подраздел </w:t>
            </w:r>
            <w:r w:rsidRPr="00DB58C6">
              <w:rPr>
                <w:rFonts w:ascii="Times New Roman" w:hAnsi="Times New Roman"/>
                <w:sz w:val="20"/>
                <w:szCs w:val="20"/>
              </w:rPr>
              <w:fldChar w:fldCharType="begin"/>
            </w:r>
            <w:r w:rsidRPr="00DB58C6">
              <w:rPr>
                <w:rFonts w:ascii="Times New Roman" w:hAnsi="Times New Roman"/>
                <w:sz w:val="20"/>
                <w:szCs w:val="20"/>
              </w:rPr>
              <w:instrText xml:space="preserve"> REF _Ref314250951 \r \h  \* MERGEFORMAT </w:instrText>
            </w:r>
            <w:r w:rsidRPr="00DB58C6">
              <w:rPr>
                <w:rFonts w:ascii="Times New Roman" w:hAnsi="Times New Roman"/>
                <w:sz w:val="20"/>
                <w:szCs w:val="20"/>
              </w:rPr>
            </w:r>
            <w:r w:rsidRPr="00DB58C6">
              <w:rPr>
                <w:rFonts w:ascii="Times New Roman" w:hAnsi="Times New Roman"/>
                <w:sz w:val="20"/>
                <w:szCs w:val="20"/>
              </w:rPr>
              <w:fldChar w:fldCharType="separate"/>
            </w:r>
            <w:r w:rsidR="00B102E5">
              <w:rPr>
                <w:rFonts w:ascii="Times New Roman" w:hAnsi="Times New Roman"/>
                <w:sz w:val="20"/>
                <w:szCs w:val="20"/>
              </w:rPr>
              <w:t>7.2</w:t>
            </w:r>
            <w:r w:rsidRPr="00DB58C6">
              <w:rPr>
                <w:rFonts w:ascii="Times New Roman" w:hAnsi="Times New Roman"/>
                <w:sz w:val="20"/>
                <w:szCs w:val="20"/>
              </w:rPr>
              <w:fldChar w:fldCharType="end"/>
            </w:r>
            <w:r w:rsidRPr="00DB58C6">
              <w:rPr>
                <w:rFonts w:ascii="Times New Roman" w:hAnsi="Times New Roman"/>
                <w:sz w:val="20"/>
                <w:szCs w:val="20"/>
              </w:rPr>
              <w:t>), могут быть составлены (рассчитаны) путем непропорционального снижения НМЦ ед.</w:t>
            </w:r>
          </w:p>
        </w:tc>
      </w:tr>
      <w:tr w:rsidR="0025417E" w:rsidRPr="008D5CF4" w14:paraId="4D8A72B4" w14:textId="77777777" w:rsidTr="00EA48F4">
        <w:trPr>
          <w:trHeight w:val="57"/>
        </w:trPr>
        <w:tc>
          <w:tcPr>
            <w:tcW w:w="568" w:type="dxa"/>
            <w:shd w:val="clear" w:color="auto" w:fill="auto"/>
          </w:tcPr>
          <w:p w14:paraId="7B47498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25417E" w:rsidRPr="008D5CF4" w14:paraId="56EB7870" w14:textId="77777777" w:rsidTr="00254C26">
        <w:trPr>
          <w:trHeight w:val="57"/>
        </w:trPr>
        <w:tc>
          <w:tcPr>
            <w:tcW w:w="568" w:type="dxa"/>
            <w:shd w:val="clear" w:color="auto" w:fill="auto"/>
          </w:tcPr>
          <w:p w14:paraId="7E7DA30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25417E" w:rsidRPr="00DB58C6" w:rsidRDefault="0025417E" w:rsidP="0025417E">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25417E" w:rsidRPr="008D5CF4" w14:paraId="21FDFF07" w14:textId="77777777" w:rsidTr="00254C26">
        <w:trPr>
          <w:trHeight w:val="57"/>
        </w:trPr>
        <w:tc>
          <w:tcPr>
            <w:tcW w:w="568" w:type="dxa"/>
            <w:shd w:val="clear" w:color="auto" w:fill="auto"/>
          </w:tcPr>
          <w:p w14:paraId="0879E63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25417E" w:rsidRPr="008D5CF4" w14:paraId="1E8C2C22" w14:textId="77777777" w:rsidTr="00254C26">
        <w:trPr>
          <w:trHeight w:val="57"/>
        </w:trPr>
        <w:tc>
          <w:tcPr>
            <w:tcW w:w="568" w:type="dxa"/>
            <w:shd w:val="clear" w:color="auto" w:fill="auto"/>
          </w:tcPr>
          <w:p w14:paraId="23084F7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25417E" w:rsidRPr="008D5CF4" w14:paraId="77A7B52B" w14:textId="77777777" w:rsidTr="00254C26">
        <w:trPr>
          <w:trHeight w:val="57"/>
        </w:trPr>
        <w:tc>
          <w:tcPr>
            <w:tcW w:w="568" w:type="dxa"/>
            <w:shd w:val="clear" w:color="auto" w:fill="auto"/>
          </w:tcPr>
          <w:p w14:paraId="535F50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25417E" w:rsidRPr="008D5CF4" w:rsidRDefault="0025417E" w:rsidP="000C426C">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0C426C">
              <w:rPr>
                <w:rFonts w:ascii="Times New Roman" w:hAnsi="Times New Roman"/>
                <w:sz w:val="22"/>
                <w:szCs w:val="22"/>
              </w:rPr>
              <w:t>выполняемых работ</w:t>
            </w:r>
          </w:p>
        </w:tc>
        <w:tc>
          <w:tcPr>
            <w:tcW w:w="5811" w:type="dxa"/>
          </w:tcPr>
          <w:p w14:paraId="03D511DB" w14:textId="67C354FD" w:rsidR="0025417E" w:rsidRPr="00DB58C6" w:rsidRDefault="0025417E" w:rsidP="00DB58C6">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w:t>
            </w:r>
            <w:r w:rsidR="00DB58C6" w:rsidRPr="00DB58C6">
              <w:rPr>
                <w:rFonts w:ascii="Times New Roman" w:hAnsi="Times New Roman"/>
                <w:sz w:val="20"/>
                <w:szCs w:val="20"/>
              </w:rPr>
              <w:t>н</w:t>
            </w:r>
            <w:r w:rsidRPr="00DB58C6">
              <w:rPr>
                <w:rFonts w:ascii="Times New Roman" w:hAnsi="Times New Roman"/>
                <w:sz w:val="20"/>
                <w:szCs w:val="20"/>
              </w:rPr>
              <w:t>ием</w:t>
            </w:r>
          </w:p>
          <w:p w14:paraId="1ED54AEA" w14:textId="6591963A" w:rsidR="0025417E" w:rsidRPr="00DB58C6" w:rsidRDefault="0025417E" w:rsidP="0025417E">
            <w:pPr>
              <w:spacing w:after="0" w:line="240" w:lineRule="auto"/>
              <w:jc w:val="both"/>
              <w:rPr>
                <w:rFonts w:ascii="Times New Roman" w:hAnsi="Times New Roman"/>
                <w:sz w:val="20"/>
                <w:szCs w:val="20"/>
              </w:rPr>
            </w:pPr>
          </w:p>
        </w:tc>
      </w:tr>
      <w:tr w:rsidR="0025417E" w:rsidRPr="008D5CF4" w14:paraId="6163B5E8" w14:textId="77777777" w:rsidTr="00254C26">
        <w:trPr>
          <w:trHeight w:val="57"/>
        </w:trPr>
        <w:tc>
          <w:tcPr>
            <w:tcW w:w="568" w:type="dxa"/>
            <w:vMerge w:val="restart"/>
            <w:shd w:val="clear" w:color="auto" w:fill="auto"/>
          </w:tcPr>
          <w:p w14:paraId="77DE1B5E" w14:textId="558568C3"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25417E" w:rsidRPr="008D5CF4" w14:paraId="6DBECBFF" w14:textId="77777777" w:rsidTr="00254C26">
        <w:trPr>
          <w:trHeight w:val="57"/>
        </w:trPr>
        <w:tc>
          <w:tcPr>
            <w:tcW w:w="568" w:type="dxa"/>
            <w:vMerge/>
            <w:shd w:val="clear" w:color="auto" w:fill="auto"/>
          </w:tcPr>
          <w:p w14:paraId="494669C3"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25417E" w:rsidRPr="008D5CF4" w:rsidRDefault="0025417E" w:rsidP="0025417E">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65251F84" w:rsidR="0025417E" w:rsidRPr="00DB58C6" w:rsidRDefault="000C426C" w:rsidP="0025417E">
            <w:pPr>
              <w:spacing w:after="0" w:line="240" w:lineRule="auto"/>
              <w:rPr>
                <w:rFonts w:ascii="Times New Roman" w:hAnsi="Times New Roman"/>
                <w:sz w:val="20"/>
                <w:szCs w:val="20"/>
              </w:rPr>
            </w:pPr>
            <w:r>
              <w:rPr>
                <w:rFonts w:ascii="Times New Roman" w:hAnsi="Times New Roman"/>
                <w:sz w:val="20"/>
                <w:szCs w:val="20"/>
              </w:rPr>
              <w:t>Не п</w:t>
            </w:r>
            <w:r w:rsidR="0025417E" w:rsidRPr="00DB58C6">
              <w:rPr>
                <w:rFonts w:ascii="Times New Roman" w:hAnsi="Times New Roman"/>
                <w:sz w:val="20"/>
                <w:szCs w:val="20"/>
              </w:rPr>
              <w:t xml:space="preserve">редусмотрена </w:t>
            </w:r>
          </w:p>
          <w:p w14:paraId="107EDBB1" w14:textId="08A0A6A4" w:rsidR="0025417E" w:rsidRPr="00DB58C6" w:rsidRDefault="0025417E" w:rsidP="0025417E">
            <w:pPr>
              <w:spacing w:after="0" w:line="240" w:lineRule="auto"/>
              <w:rPr>
                <w:rFonts w:ascii="Times New Roman" w:hAnsi="Times New Roman"/>
                <w:sz w:val="20"/>
                <w:szCs w:val="20"/>
              </w:rPr>
            </w:pPr>
          </w:p>
        </w:tc>
      </w:tr>
      <w:tr w:rsidR="0025417E" w:rsidRPr="008D5CF4" w14:paraId="391E8F45" w14:textId="77777777" w:rsidTr="00254C26">
        <w:trPr>
          <w:trHeight w:val="57"/>
        </w:trPr>
        <w:tc>
          <w:tcPr>
            <w:tcW w:w="568" w:type="dxa"/>
            <w:shd w:val="clear" w:color="auto" w:fill="auto"/>
          </w:tcPr>
          <w:p w14:paraId="3118902C"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Участие в закупке </w:t>
            </w:r>
            <w:r w:rsidRPr="008D5CF4">
              <w:rPr>
                <w:rFonts w:ascii="Times New Roman" w:hAnsi="Times New Roman"/>
                <w:sz w:val="22"/>
                <w:szCs w:val="22"/>
              </w:rPr>
              <w:lastRenderedPageBreak/>
              <w:t>субъектов МСП</w:t>
            </w:r>
          </w:p>
        </w:tc>
        <w:tc>
          <w:tcPr>
            <w:tcW w:w="5811" w:type="dxa"/>
          </w:tcPr>
          <w:p w14:paraId="25BA4E67" w14:textId="1154DD73" w:rsidR="0025417E" w:rsidRPr="00F52CC1" w:rsidRDefault="0025417E" w:rsidP="00DB58C6">
            <w:pPr>
              <w:spacing w:after="0" w:line="240" w:lineRule="auto"/>
              <w:jc w:val="both"/>
              <w:rPr>
                <w:rFonts w:ascii="Times New Roman" w:hAnsi="Times New Roman"/>
                <w:sz w:val="22"/>
                <w:szCs w:val="22"/>
              </w:rPr>
            </w:pPr>
            <w:r w:rsidRPr="00F52CC1">
              <w:rPr>
                <w:rFonts w:ascii="Times New Roman" w:hAnsi="Times New Roman"/>
                <w:sz w:val="22"/>
                <w:szCs w:val="22"/>
              </w:rPr>
              <w:lastRenderedPageBreak/>
              <w:t xml:space="preserve">Общество осуществляет закупку, участниками которой </w:t>
            </w:r>
            <w:r w:rsidRPr="00F52CC1">
              <w:rPr>
                <w:rFonts w:ascii="Times New Roman" w:hAnsi="Times New Roman"/>
                <w:sz w:val="22"/>
                <w:szCs w:val="22"/>
              </w:rPr>
              <w:lastRenderedPageBreak/>
              <w:t>являются  только субъекты малого и среднего предпринимательства</w:t>
            </w:r>
          </w:p>
          <w:p w14:paraId="75221F7A" w14:textId="2CAF5837" w:rsidR="0025417E" w:rsidRPr="00B072BF" w:rsidRDefault="0025417E" w:rsidP="0025417E">
            <w:pPr>
              <w:tabs>
                <w:tab w:val="left" w:pos="353"/>
              </w:tabs>
              <w:spacing w:after="0" w:line="240" w:lineRule="auto"/>
              <w:rPr>
                <w:rFonts w:ascii="Times New Roman" w:hAnsi="Times New Roman"/>
                <w:sz w:val="22"/>
                <w:szCs w:val="22"/>
              </w:rPr>
            </w:pPr>
          </w:p>
        </w:tc>
      </w:tr>
      <w:tr w:rsidR="0025417E" w:rsidRPr="008D5CF4" w14:paraId="1EDD81D3" w14:textId="77777777" w:rsidTr="00254C26">
        <w:trPr>
          <w:trHeight w:val="57"/>
        </w:trPr>
        <w:tc>
          <w:tcPr>
            <w:tcW w:w="568" w:type="dxa"/>
            <w:shd w:val="clear" w:color="auto" w:fill="auto"/>
          </w:tcPr>
          <w:p w14:paraId="646B1EF5"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25417E" w:rsidRPr="008D5CF4" w:rsidRDefault="0025417E" w:rsidP="0025417E">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25417E" w:rsidRPr="008D5CF4" w14:paraId="693D2036" w14:textId="77777777" w:rsidTr="00254C26">
        <w:trPr>
          <w:trHeight w:val="57"/>
        </w:trPr>
        <w:tc>
          <w:tcPr>
            <w:tcW w:w="568" w:type="dxa"/>
            <w:shd w:val="clear" w:color="auto" w:fill="auto"/>
          </w:tcPr>
          <w:p w14:paraId="32CA509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25417E" w:rsidRPr="008D5CF4" w:rsidRDefault="0025417E" w:rsidP="0025417E">
            <w:pPr>
              <w:spacing w:after="0" w:line="240" w:lineRule="auto"/>
              <w:rPr>
                <w:rFonts w:ascii="Times New Roman" w:hAnsi="Times New Roman"/>
                <w:sz w:val="22"/>
                <w:szCs w:val="22"/>
              </w:rPr>
            </w:pPr>
          </w:p>
        </w:tc>
      </w:tr>
      <w:tr w:rsidR="0025417E" w:rsidRPr="008D5CF4" w14:paraId="14FA0BE7" w14:textId="77777777" w:rsidTr="00254C26">
        <w:trPr>
          <w:trHeight w:val="57"/>
        </w:trPr>
        <w:tc>
          <w:tcPr>
            <w:tcW w:w="568" w:type="dxa"/>
            <w:shd w:val="clear" w:color="auto" w:fill="auto"/>
          </w:tcPr>
          <w:p w14:paraId="376E335E"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6EC6CB2C" w:rsidR="0025417E" w:rsidRPr="008D5CF4" w:rsidRDefault="0025417E" w:rsidP="001C4B7D">
            <w:pPr>
              <w:spacing w:after="0" w:line="240" w:lineRule="auto"/>
              <w:rPr>
                <w:rFonts w:ascii="Times New Roman" w:hAnsi="Times New Roman"/>
                <w:sz w:val="22"/>
                <w:szCs w:val="22"/>
              </w:rPr>
            </w:pPr>
            <w:r w:rsidRPr="002753D5">
              <w:rPr>
                <w:rFonts w:ascii="Times New Roman" w:hAnsi="Times New Roman"/>
                <w:sz w:val="22"/>
                <w:szCs w:val="22"/>
              </w:rPr>
              <w:t>Заявки подаются начиная с «</w:t>
            </w:r>
            <w:r w:rsidR="001C4B7D">
              <w:rPr>
                <w:rFonts w:ascii="Times New Roman" w:hAnsi="Times New Roman"/>
                <w:sz w:val="22"/>
                <w:szCs w:val="22"/>
              </w:rPr>
              <w:t>27</w:t>
            </w:r>
            <w:r w:rsidRPr="002753D5">
              <w:rPr>
                <w:rFonts w:ascii="Times New Roman" w:hAnsi="Times New Roman"/>
                <w:sz w:val="22"/>
                <w:szCs w:val="22"/>
              </w:rPr>
              <w:t xml:space="preserve">» </w:t>
            </w:r>
            <w:r w:rsidR="001C4B7D">
              <w:rPr>
                <w:rFonts w:ascii="Times New Roman" w:hAnsi="Times New Roman"/>
                <w:sz w:val="22"/>
                <w:szCs w:val="22"/>
              </w:rPr>
              <w:t>февраля</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и до </w:t>
            </w:r>
            <w:r w:rsidR="00DB58C6">
              <w:rPr>
                <w:rFonts w:ascii="Times New Roman" w:hAnsi="Times New Roman"/>
                <w:sz w:val="22"/>
                <w:szCs w:val="22"/>
              </w:rPr>
              <w:t xml:space="preserve"> </w:t>
            </w:r>
            <w:r w:rsidR="00766C7B">
              <w:rPr>
                <w:rFonts w:ascii="Times New Roman" w:hAnsi="Times New Roman"/>
                <w:sz w:val="22"/>
                <w:szCs w:val="22"/>
              </w:rPr>
              <w:t>09</w:t>
            </w:r>
            <w:r w:rsidR="00DB58C6">
              <w:rPr>
                <w:rFonts w:ascii="Times New Roman" w:hAnsi="Times New Roman"/>
                <w:sz w:val="22"/>
                <w:szCs w:val="22"/>
              </w:rPr>
              <w:t xml:space="preserve"> </w:t>
            </w:r>
            <w:r w:rsidRPr="002753D5">
              <w:rPr>
                <w:rFonts w:ascii="Times New Roman" w:hAnsi="Times New Roman"/>
                <w:sz w:val="22"/>
                <w:szCs w:val="22"/>
              </w:rPr>
              <w:t xml:space="preserve"> ч.</w:t>
            </w:r>
            <w:r>
              <w:rPr>
                <w:rFonts w:ascii="Times New Roman" w:hAnsi="Times New Roman"/>
                <w:sz w:val="22"/>
                <w:szCs w:val="22"/>
              </w:rPr>
              <w:t>00</w:t>
            </w:r>
            <w:r w:rsidRPr="002753D5">
              <w:rPr>
                <w:rFonts w:ascii="Times New Roman" w:hAnsi="Times New Roman"/>
                <w:sz w:val="22"/>
                <w:szCs w:val="22"/>
              </w:rPr>
              <w:t xml:space="preserve"> мин. «</w:t>
            </w:r>
            <w:r w:rsidR="001C4B7D">
              <w:rPr>
                <w:rFonts w:ascii="Times New Roman" w:hAnsi="Times New Roman"/>
                <w:sz w:val="22"/>
                <w:szCs w:val="22"/>
              </w:rPr>
              <w:t>10</w:t>
            </w:r>
            <w:r w:rsidRPr="002753D5">
              <w:rPr>
                <w:rFonts w:ascii="Times New Roman" w:hAnsi="Times New Roman"/>
                <w:sz w:val="22"/>
                <w:szCs w:val="22"/>
              </w:rPr>
              <w:t>» </w:t>
            </w:r>
            <w:r w:rsidR="001C4B7D">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(по местному времени Заказчика) </w:t>
            </w:r>
          </w:p>
        </w:tc>
      </w:tr>
      <w:tr w:rsidR="0025417E" w:rsidRPr="008D5CF4" w14:paraId="1066CAA0" w14:textId="77777777" w:rsidTr="00254C26">
        <w:trPr>
          <w:trHeight w:val="57"/>
        </w:trPr>
        <w:tc>
          <w:tcPr>
            <w:tcW w:w="568" w:type="dxa"/>
            <w:shd w:val="clear" w:color="auto" w:fill="auto"/>
          </w:tcPr>
          <w:p w14:paraId="57A74C59"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25417E" w:rsidRPr="008D5CF4" w:rsidRDefault="0025417E" w:rsidP="0025417E">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313DAC58" w:rsidR="0025417E" w:rsidRPr="008D5CF4" w:rsidRDefault="0025417E" w:rsidP="001C4B7D">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1C4B7D">
              <w:rPr>
                <w:rFonts w:ascii="Times New Roman" w:hAnsi="Times New Roman"/>
                <w:sz w:val="22"/>
                <w:szCs w:val="22"/>
              </w:rPr>
              <w:t>0</w:t>
            </w:r>
            <w:r w:rsidR="00766C7B">
              <w:rPr>
                <w:rFonts w:ascii="Times New Roman" w:hAnsi="Times New Roman"/>
                <w:sz w:val="22"/>
                <w:szCs w:val="22"/>
              </w:rPr>
              <w:t>7</w:t>
            </w:r>
            <w:r w:rsidRPr="002753D5">
              <w:rPr>
                <w:rFonts w:ascii="Times New Roman" w:hAnsi="Times New Roman"/>
                <w:sz w:val="22"/>
                <w:szCs w:val="22"/>
              </w:rPr>
              <w:t>» </w:t>
            </w:r>
            <w:r w:rsidR="001C4B7D">
              <w:rPr>
                <w:rFonts w:ascii="Times New Roman" w:hAnsi="Times New Roman"/>
                <w:sz w:val="22"/>
                <w:szCs w:val="22"/>
              </w:rPr>
              <w:t>марта</w:t>
            </w:r>
            <w:r w:rsidRPr="002753D5">
              <w:rPr>
                <w:rFonts w:ascii="Times New Roman" w:hAnsi="Times New Roman"/>
                <w:sz w:val="22"/>
                <w:szCs w:val="22"/>
              </w:rPr>
              <w:t xml:space="preserve"> 202</w:t>
            </w:r>
            <w:r w:rsidR="001C4B7D">
              <w:rPr>
                <w:rFonts w:ascii="Times New Roman" w:hAnsi="Times New Roman"/>
                <w:sz w:val="22"/>
                <w:szCs w:val="22"/>
              </w:rPr>
              <w:t>5</w:t>
            </w:r>
            <w:r w:rsidRPr="008D5CF4">
              <w:rPr>
                <w:rFonts w:ascii="Times New Roman" w:hAnsi="Times New Roman"/>
                <w:sz w:val="22"/>
                <w:szCs w:val="22"/>
              </w:rPr>
              <w:t xml:space="preserve"> г. </w:t>
            </w:r>
            <w:r w:rsidR="00766C7B">
              <w:rPr>
                <w:rFonts w:ascii="Times New Roman" w:hAnsi="Times New Roman"/>
                <w:sz w:val="22"/>
                <w:szCs w:val="22"/>
              </w:rPr>
              <w:t>1</w:t>
            </w:r>
            <w:r w:rsidR="001C4B7D">
              <w:rPr>
                <w:rFonts w:ascii="Times New Roman" w:hAnsi="Times New Roman"/>
                <w:sz w:val="22"/>
                <w:szCs w:val="22"/>
              </w:rPr>
              <w:t>2</w:t>
            </w:r>
            <w:r w:rsidR="00766C7B">
              <w:rPr>
                <w:rFonts w:ascii="Times New Roman" w:hAnsi="Times New Roman"/>
                <w:sz w:val="22"/>
                <w:szCs w:val="22"/>
              </w:rPr>
              <w:t xml:space="preserve">.00 </w:t>
            </w:r>
            <w:r w:rsidR="00DB58C6">
              <w:rPr>
                <w:rFonts w:ascii="Times New Roman" w:hAnsi="Times New Roman"/>
                <w:sz w:val="22"/>
                <w:szCs w:val="22"/>
              </w:rPr>
              <w:t>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49E1303" w14:textId="77777777" w:rsidTr="00254C26">
        <w:trPr>
          <w:trHeight w:val="57"/>
        </w:trPr>
        <w:tc>
          <w:tcPr>
            <w:tcW w:w="568" w:type="dxa"/>
            <w:shd w:val="clear" w:color="auto" w:fill="auto"/>
          </w:tcPr>
          <w:p w14:paraId="5278263A"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25417E" w:rsidRPr="00CD76CA" w:rsidRDefault="0025417E" w:rsidP="0025417E">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25417E" w:rsidRPr="008D5CF4" w14:paraId="761C29D3" w14:textId="77777777" w:rsidTr="00254C26">
        <w:trPr>
          <w:trHeight w:val="57"/>
        </w:trPr>
        <w:tc>
          <w:tcPr>
            <w:tcW w:w="568" w:type="dxa"/>
            <w:shd w:val="clear" w:color="auto" w:fill="auto"/>
          </w:tcPr>
          <w:p w14:paraId="7F4C2C0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27EFE35B" w:rsidR="0025417E" w:rsidRPr="008D5CF4" w:rsidRDefault="0025417E" w:rsidP="001C4B7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766C7B">
              <w:rPr>
                <w:rFonts w:ascii="Times New Roman" w:hAnsi="Times New Roman"/>
                <w:sz w:val="22"/>
                <w:szCs w:val="22"/>
              </w:rPr>
              <w:t>1</w:t>
            </w:r>
            <w:r w:rsidR="001C4B7D">
              <w:rPr>
                <w:rFonts w:ascii="Times New Roman" w:hAnsi="Times New Roman"/>
                <w:sz w:val="22"/>
                <w:szCs w:val="22"/>
              </w:rPr>
              <w:t>0</w:t>
            </w:r>
            <w:r w:rsidRPr="002F0637">
              <w:rPr>
                <w:rFonts w:ascii="Times New Roman" w:hAnsi="Times New Roman"/>
                <w:sz w:val="22"/>
                <w:szCs w:val="22"/>
              </w:rPr>
              <w:t xml:space="preserve">» </w:t>
            </w:r>
            <w:r w:rsidR="001C4B7D">
              <w:rPr>
                <w:rFonts w:ascii="Times New Roman" w:hAnsi="Times New Roman"/>
                <w:sz w:val="22"/>
                <w:szCs w:val="22"/>
              </w:rPr>
              <w:t>марта</w:t>
            </w:r>
            <w:r w:rsidRPr="002F0637">
              <w:rPr>
                <w:rFonts w:ascii="Times New Roman" w:hAnsi="Times New Roman"/>
                <w:sz w:val="22"/>
                <w:szCs w:val="22"/>
              </w:rPr>
              <w:t xml:space="preserve"> 202</w:t>
            </w:r>
            <w:r w:rsidR="001C4B7D">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9A69D67" w14:textId="77777777" w:rsidTr="00254C26">
        <w:trPr>
          <w:trHeight w:val="57"/>
        </w:trPr>
        <w:tc>
          <w:tcPr>
            <w:tcW w:w="568" w:type="dxa"/>
            <w:shd w:val="clear" w:color="auto" w:fill="auto"/>
          </w:tcPr>
          <w:p w14:paraId="7FB355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25417E" w:rsidRPr="008D5CF4" w:rsidRDefault="0025417E" w:rsidP="0025417E">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25417E" w:rsidRPr="008D5CF4" w14:paraId="68B9C9BA" w14:textId="77777777" w:rsidTr="00254C26">
        <w:trPr>
          <w:trHeight w:val="57"/>
        </w:trPr>
        <w:tc>
          <w:tcPr>
            <w:tcW w:w="568" w:type="dxa"/>
            <w:shd w:val="clear" w:color="auto" w:fill="auto"/>
          </w:tcPr>
          <w:p w14:paraId="17F1534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2A74178" w:rsidR="0025417E" w:rsidRPr="008D5CF4" w:rsidRDefault="0025417E" w:rsidP="001C4B7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766C7B">
              <w:rPr>
                <w:rFonts w:ascii="Times New Roman" w:hAnsi="Times New Roman"/>
                <w:sz w:val="22"/>
                <w:szCs w:val="22"/>
              </w:rPr>
              <w:t>1</w:t>
            </w:r>
            <w:r w:rsidR="001C4B7D">
              <w:rPr>
                <w:rFonts w:ascii="Times New Roman" w:hAnsi="Times New Roman"/>
                <w:sz w:val="22"/>
                <w:szCs w:val="22"/>
              </w:rPr>
              <w:t>0</w:t>
            </w:r>
            <w:r w:rsidRPr="002F0637">
              <w:rPr>
                <w:rFonts w:ascii="Times New Roman" w:hAnsi="Times New Roman"/>
                <w:sz w:val="22"/>
                <w:szCs w:val="22"/>
              </w:rPr>
              <w:t xml:space="preserve">» </w:t>
            </w:r>
            <w:r w:rsidR="001C4B7D">
              <w:rPr>
                <w:rFonts w:ascii="Times New Roman" w:hAnsi="Times New Roman"/>
                <w:sz w:val="22"/>
                <w:szCs w:val="22"/>
              </w:rPr>
              <w:t>марта</w:t>
            </w:r>
            <w:r w:rsidRPr="002F0637">
              <w:rPr>
                <w:rFonts w:ascii="Times New Roman" w:hAnsi="Times New Roman"/>
                <w:sz w:val="22"/>
                <w:szCs w:val="22"/>
              </w:rPr>
              <w:t xml:space="preserve"> 202</w:t>
            </w:r>
            <w:r w:rsidR="001C4B7D">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20E037F" w14:textId="77777777" w:rsidTr="00254C26">
        <w:trPr>
          <w:trHeight w:val="57"/>
        </w:trPr>
        <w:tc>
          <w:tcPr>
            <w:tcW w:w="568" w:type="dxa"/>
            <w:shd w:val="clear" w:color="auto" w:fill="auto"/>
          </w:tcPr>
          <w:p w14:paraId="7BD4D03D"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25417E" w:rsidRPr="008D5CF4" w14:paraId="4D1A0266" w14:textId="77777777" w:rsidTr="00254C26">
        <w:trPr>
          <w:trHeight w:val="57"/>
        </w:trPr>
        <w:tc>
          <w:tcPr>
            <w:tcW w:w="568" w:type="dxa"/>
            <w:shd w:val="clear" w:color="auto" w:fill="auto"/>
          </w:tcPr>
          <w:p w14:paraId="2EA8F6B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25417E" w:rsidRPr="007218ED" w:rsidRDefault="0025417E" w:rsidP="0025417E">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25417E" w:rsidRPr="008D5CF4" w14:paraId="465586B4" w14:textId="77777777" w:rsidTr="00254C26">
        <w:trPr>
          <w:trHeight w:val="57"/>
        </w:trPr>
        <w:tc>
          <w:tcPr>
            <w:tcW w:w="568" w:type="dxa"/>
            <w:shd w:val="clear" w:color="auto" w:fill="auto"/>
          </w:tcPr>
          <w:p w14:paraId="79DAEBE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25417E" w:rsidRPr="008D5CF4" w:rsidRDefault="0025417E" w:rsidP="0025417E">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25417E" w:rsidRPr="008D5CF4" w:rsidRDefault="0025417E" w:rsidP="0025417E">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8"/>
          <w:footerReference w:type="default" r:id="rId19"/>
          <w:headerReference w:type="first" r:id="rId20"/>
          <w:footerReference w:type="first" r:id="rId21"/>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sidRPr="00B102E5">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102E5" w:rsidRPr="00B102E5">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102E5">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Pr>
                <w:rFonts w:ascii="Times New Roman" w:hAnsi="Times New Roman"/>
                <w:sz w:val="22"/>
                <w:szCs w:val="22"/>
              </w:rPr>
              <w:t>7.4.2(1)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102E5">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0E31712B" w:rsidR="001A35FA" w:rsidRPr="001E6521" w:rsidRDefault="001A35FA" w:rsidP="005E50C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102E5" w:rsidRPr="00B102E5">
              <w:rPr>
                <w:rFonts w:ascii="Times New Roman" w:hAnsi="Times New Roman"/>
                <w:sz w:val="22"/>
                <w:szCs w:val="22"/>
              </w:rPr>
              <w:t>(Форма )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66880318" w:rsidR="001A35FA" w:rsidRPr="001E6521" w:rsidRDefault="005E50CC" w:rsidP="005E50CC">
            <w:pPr>
              <w:spacing w:after="0" w:line="240" w:lineRule="auto"/>
              <w:rPr>
                <w:rFonts w:ascii="Times New Roman" w:hAnsi="Times New Roman"/>
                <w:sz w:val="22"/>
                <w:szCs w:val="22"/>
              </w:rPr>
            </w:pPr>
            <w:r>
              <w:rPr>
                <w:rFonts w:ascii="Times New Roman" w:hAnsi="Times New Roman"/>
                <w:sz w:val="22"/>
                <w:szCs w:val="22"/>
              </w:rPr>
              <w:t>Приложить документы в соответствии с п. 4 Технического задания (требования к потенциальному участнику).</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4"/>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4"/>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4"/>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270F0DFE" w14:textId="77777777" w:rsidR="008537CC" w:rsidRPr="008537CC" w:rsidRDefault="008537CC" w:rsidP="008537CC">
            <w:pPr>
              <w:spacing w:line="23" w:lineRule="atLeast"/>
              <w:jc w:val="both"/>
              <w:rPr>
                <w:i/>
                <w:sz w:val="24"/>
                <w:szCs w:val="24"/>
              </w:rPr>
            </w:pPr>
            <w:r w:rsidRPr="008537CC">
              <w:rPr>
                <w:sz w:val="24"/>
                <w:szCs w:val="24"/>
              </w:rPr>
              <w:t>при опыте (1-20 Договора за последние 3 года) – 0 баллов.</w:t>
            </w:r>
          </w:p>
          <w:p w14:paraId="079883A5" w14:textId="77777777" w:rsidR="008537CC" w:rsidRPr="008537CC" w:rsidRDefault="008537CC" w:rsidP="008537CC">
            <w:pPr>
              <w:spacing w:line="23" w:lineRule="atLeast"/>
              <w:jc w:val="both"/>
              <w:rPr>
                <w:sz w:val="24"/>
                <w:szCs w:val="24"/>
              </w:rPr>
            </w:pPr>
            <w:r w:rsidRPr="008537CC">
              <w:rPr>
                <w:sz w:val="24"/>
                <w:szCs w:val="24"/>
              </w:rPr>
              <w:t>при опыте (21-40  Договоров за последние 3 года): – 50 баллов,</w:t>
            </w:r>
          </w:p>
          <w:p w14:paraId="00FF1787" w14:textId="77777777" w:rsidR="008537CC" w:rsidRPr="008537CC" w:rsidRDefault="008537CC" w:rsidP="008537CC">
            <w:pPr>
              <w:spacing w:line="23" w:lineRule="atLeast"/>
              <w:jc w:val="both"/>
              <w:rPr>
                <w:sz w:val="24"/>
                <w:szCs w:val="24"/>
              </w:rPr>
            </w:pPr>
            <w:r w:rsidRPr="008537CC">
              <w:rPr>
                <w:sz w:val="24"/>
                <w:szCs w:val="24"/>
              </w:rPr>
              <w:t>при опыте (41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102E5">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w:t>
            </w:r>
            <w:r w:rsidRPr="00FF1DC1">
              <w:rPr>
                <w:rFonts w:ascii="Times New Roman" w:hAnsi="Times New Roman"/>
                <w:color w:val="000000"/>
                <w:sz w:val="22"/>
                <w:szCs w:val="22"/>
              </w:rPr>
              <w:lastRenderedPageBreak/>
              <w:t xml:space="preserve">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102E5">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102E5">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w:t>
            </w:r>
            <w:r w:rsidRPr="00FF1DC1">
              <w:rPr>
                <w:rFonts w:ascii="Times New Roman" w:hAnsi="Times New Roman"/>
                <w:sz w:val="22"/>
                <w:szCs w:val="22"/>
              </w:rPr>
              <w:lastRenderedPageBreak/>
              <w:t>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w:t>
            </w:r>
            <w:r w:rsidRPr="00EE0B25">
              <w:rPr>
                <w:rFonts w:ascii="Times New Roman" w:hAnsi="Times New Roman"/>
                <w:color w:val="000000"/>
                <w:sz w:val="22"/>
                <w:szCs w:val="22"/>
              </w:rPr>
              <w:lastRenderedPageBreak/>
              <w:t xml:space="preserve">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102E5" w:rsidRPr="00B102E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102E5" w:rsidRPr="00B102E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102E5" w:rsidRPr="00B102E5">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w:t>
      </w:r>
      <w:r w:rsidRPr="0061579A">
        <w:rPr>
          <w:rFonts w:ascii="Times New Roman" w:hAnsi="Times New Roman"/>
          <w:sz w:val="24"/>
        </w:rPr>
        <w:lastRenderedPageBreak/>
        <w:t xml:space="preserve">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lastRenderedPageBreak/>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 xml:space="preserve">етчиком, и по </w:t>
      </w:r>
      <w:r>
        <w:lastRenderedPageBreak/>
        <w:t>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102E5">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 )</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102E5">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63ADC63" w14:textId="77777777" w:rsidR="008E3984" w:rsidRDefault="008E3984" w:rsidP="008537CC">
      <w:pPr>
        <w:tabs>
          <w:tab w:val="left" w:pos="142"/>
          <w:tab w:val="left" w:pos="426"/>
        </w:tabs>
        <w:spacing w:before="240"/>
        <w:ind w:left="-284"/>
        <w:jc w:val="center"/>
        <w:rPr>
          <w:lang w:val="ru"/>
        </w:rPr>
      </w:pPr>
    </w:p>
    <w:p w14:paraId="4685979D" w14:textId="4A9B56D1" w:rsidR="00C967B5" w:rsidRDefault="00C967B5" w:rsidP="008537CC">
      <w:pPr>
        <w:tabs>
          <w:tab w:val="left" w:pos="142"/>
          <w:tab w:val="left" w:pos="426"/>
        </w:tabs>
        <w:spacing w:before="240"/>
        <w:ind w:left="-284"/>
        <w:jc w:val="center"/>
        <w:rPr>
          <w:rFonts w:ascii="Times New Roman" w:hAnsi="Times New Roman"/>
          <w:b/>
          <w:bCs/>
          <w:sz w:val="24"/>
          <w:szCs w:val="24"/>
        </w:rPr>
      </w:pPr>
      <w:r>
        <w:rPr>
          <w:lang w:val="ru"/>
        </w:rPr>
        <w:t>8</w:t>
      </w:r>
      <w:r w:rsidRPr="00C967B5">
        <w:rPr>
          <w:rFonts w:ascii="Times New Roman" w:hAnsi="Times New Roman"/>
          <w:b/>
          <w:lang w:val="ru"/>
        </w:rPr>
        <w:t xml:space="preserve">. </w:t>
      </w:r>
      <w:r w:rsidR="00860CD2" w:rsidRPr="00C967B5">
        <w:rPr>
          <w:rFonts w:ascii="Times New Roman" w:hAnsi="Times New Roman"/>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C967B5">
        <w:rPr>
          <w:rFonts w:ascii="Times New Roman" w:hAnsi="Times New Roman"/>
          <w:lang w:val="ru"/>
        </w:rPr>
        <w:br/>
      </w:r>
    </w:p>
    <w:p w14:paraId="0384AD09" w14:textId="15C4C9B0" w:rsidR="008537CC" w:rsidRPr="008537CC" w:rsidRDefault="00C967B5" w:rsidP="008537CC">
      <w:pPr>
        <w:tabs>
          <w:tab w:val="left" w:pos="142"/>
          <w:tab w:val="left" w:pos="426"/>
        </w:tabs>
        <w:spacing w:before="240"/>
        <w:ind w:left="-284"/>
        <w:jc w:val="center"/>
        <w:rPr>
          <w:rFonts w:ascii="Times New Roman" w:hAnsi="Times New Roman"/>
          <w:b/>
          <w:bCs/>
          <w:sz w:val="24"/>
          <w:szCs w:val="24"/>
        </w:rPr>
      </w:pPr>
      <w:r>
        <w:rPr>
          <w:rFonts w:ascii="Times New Roman" w:hAnsi="Times New Roman"/>
          <w:b/>
          <w:bCs/>
          <w:sz w:val="24"/>
          <w:szCs w:val="24"/>
        </w:rPr>
        <w:t>Договор</w:t>
      </w:r>
      <w:r w:rsidR="008537CC" w:rsidRPr="008537CC">
        <w:rPr>
          <w:rFonts w:ascii="Times New Roman" w:hAnsi="Times New Roman"/>
          <w:b/>
          <w:bCs/>
          <w:sz w:val="24"/>
          <w:szCs w:val="24"/>
        </w:rPr>
        <w:t xml:space="preserve"> № 0</w:t>
      </w:r>
      <w:r w:rsidR="001C4B7D">
        <w:rPr>
          <w:rFonts w:ascii="Times New Roman" w:hAnsi="Times New Roman"/>
          <w:b/>
          <w:bCs/>
          <w:sz w:val="24"/>
          <w:szCs w:val="24"/>
        </w:rPr>
        <w:t>2</w:t>
      </w:r>
      <w:r w:rsidR="008537CC" w:rsidRPr="008537CC">
        <w:rPr>
          <w:rFonts w:ascii="Times New Roman" w:hAnsi="Times New Roman"/>
          <w:b/>
          <w:bCs/>
          <w:sz w:val="24"/>
          <w:szCs w:val="24"/>
        </w:rPr>
        <w:t>-2</w:t>
      </w:r>
      <w:r w:rsidR="001C4B7D">
        <w:rPr>
          <w:rFonts w:ascii="Times New Roman" w:hAnsi="Times New Roman"/>
          <w:b/>
          <w:bCs/>
          <w:sz w:val="24"/>
          <w:szCs w:val="24"/>
        </w:rPr>
        <w:t>5</w:t>
      </w:r>
      <w:r w:rsidR="008537CC" w:rsidRPr="008537CC">
        <w:rPr>
          <w:rFonts w:ascii="Times New Roman" w:hAnsi="Times New Roman"/>
          <w:b/>
          <w:bCs/>
          <w:sz w:val="24"/>
          <w:szCs w:val="24"/>
        </w:rPr>
        <w:t>-ЗП</w:t>
      </w:r>
    </w:p>
    <w:p w14:paraId="13EED75D" w14:textId="1E409293"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1C4B7D">
        <w:rPr>
          <w:rFonts w:ascii="Times New Roman" w:hAnsi="Times New Roman"/>
          <w:sz w:val="24"/>
          <w:szCs w:val="24"/>
        </w:rPr>
        <w:t>5</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 xml:space="preserve">Акционерное общество «Выборгтеплоэнерго» (сокращенное наименование АО «Выборгтеплоэнерго»),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4A25A163"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07D02FB"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СРОК ДЕЙСТВИЯ СВИДЕТЕЛЬСТВА ОБ АККРЕДИТАЦИИ ЛАБОРАТОРИИ ПО НЕРАЗРУШАЮЩЕМУ КОНТРОЛЮ</w:t>
      </w:r>
      <w:r w:rsidRPr="0047550A">
        <w:rPr>
          <w:rFonts w:ascii="Times New Roman" w:hAnsi="Times New Roman"/>
          <w:sz w:val="24"/>
          <w:szCs w:val="24"/>
        </w:rPr>
        <w:t>, требований Федерального закона «О промышленной безопасности опасных производственных объектов» № 116-ФЗ от 21 июля 1997 года (в редакции Федерального закона № 283-ФЗ от 03 июля 2016 года), Федеральных норм и правил в области промышленной безопасности «Правила проведения экспертизы промышл</w:t>
      </w:r>
      <w:r w:rsidR="00AE6C34">
        <w:rPr>
          <w:rFonts w:ascii="Times New Roman" w:hAnsi="Times New Roman"/>
          <w:sz w:val="24"/>
          <w:szCs w:val="24"/>
        </w:rPr>
        <w:t xml:space="preserve">енной безопасности» </w:t>
      </w:r>
      <w:r w:rsidR="00AE6C34" w:rsidRPr="00615F0E">
        <w:rPr>
          <w:rFonts w:ascii="Times New Roman" w:hAnsi="Times New Roman"/>
          <w:sz w:val="24"/>
          <w:szCs w:val="24"/>
          <w:shd w:val="clear" w:color="auto" w:fill="FFFFFF" w:themeFill="background1"/>
        </w:rPr>
        <w:t>Приказ № 420</w:t>
      </w:r>
      <w:r w:rsidRPr="00615F0E">
        <w:rPr>
          <w:rFonts w:ascii="Times New Roman" w:hAnsi="Times New Roman"/>
          <w:sz w:val="24"/>
          <w:szCs w:val="24"/>
          <w:shd w:val="clear" w:color="auto" w:fill="FFFFFF" w:themeFill="background1"/>
        </w:rPr>
        <w:t xml:space="preserve"> от </w:t>
      </w:r>
      <w:r w:rsidR="00AE6C34" w:rsidRPr="00615F0E">
        <w:rPr>
          <w:rFonts w:ascii="Times New Roman" w:hAnsi="Times New Roman"/>
          <w:sz w:val="24"/>
          <w:szCs w:val="24"/>
          <w:shd w:val="clear" w:color="auto" w:fill="FFFFFF" w:themeFill="background1"/>
        </w:rPr>
        <w:t>20</w:t>
      </w:r>
      <w:r w:rsidR="00AE6C34" w:rsidRPr="00615F0E">
        <w:rPr>
          <w:rFonts w:ascii="Times New Roman" w:hAnsi="Times New Roman"/>
          <w:sz w:val="24"/>
          <w:szCs w:val="24"/>
          <w:shd w:val="clear" w:color="auto" w:fill="FFFF00"/>
        </w:rPr>
        <w:t xml:space="preserve"> </w:t>
      </w:r>
      <w:r w:rsidR="00AE6C34" w:rsidRPr="00615F0E">
        <w:rPr>
          <w:rFonts w:ascii="Times New Roman" w:hAnsi="Times New Roman"/>
          <w:sz w:val="24"/>
          <w:szCs w:val="24"/>
          <w:shd w:val="clear" w:color="auto" w:fill="FFFFFF" w:themeFill="background1"/>
        </w:rPr>
        <w:t>октября 2020</w:t>
      </w:r>
      <w:r w:rsidRPr="00615F0E">
        <w:rPr>
          <w:rFonts w:ascii="Times New Roman" w:hAnsi="Times New Roman"/>
          <w:sz w:val="24"/>
          <w:szCs w:val="24"/>
          <w:shd w:val="clear" w:color="auto" w:fill="FFFFFF" w:themeFill="background1"/>
        </w:rPr>
        <w:t xml:space="preserve"> года</w:t>
      </w:r>
      <w:r w:rsidRPr="00615F0E">
        <w:rPr>
          <w:rFonts w:ascii="Times New Roman" w:hAnsi="Times New Roman"/>
          <w:sz w:val="24"/>
          <w:szCs w:val="24"/>
        </w:rPr>
        <w:t xml:space="preserve"> </w:t>
      </w:r>
      <w:r w:rsidRPr="0047550A">
        <w:rPr>
          <w:rFonts w:ascii="Times New Roman" w:hAnsi="Times New Roman"/>
          <w:sz w:val="24"/>
          <w:szCs w:val="24"/>
        </w:rPr>
        <w:t>Федеральной службы по экологическому, технологическому и атомному надзору, зарегистрировано</w:t>
      </w:r>
      <w:r w:rsidR="00AE6C34">
        <w:rPr>
          <w:rFonts w:ascii="Times New Roman" w:hAnsi="Times New Roman"/>
          <w:sz w:val="24"/>
          <w:szCs w:val="24"/>
        </w:rPr>
        <w:t xml:space="preserve"> в Министерстве юстиции РФ </w:t>
      </w:r>
      <w:r w:rsidR="00AE6C34" w:rsidRPr="00615F0E">
        <w:rPr>
          <w:rFonts w:ascii="Times New Roman" w:hAnsi="Times New Roman"/>
          <w:sz w:val="24"/>
          <w:szCs w:val="24"/>
          <w:shd w:val="clear" w:color="auto" w:fill="FFFFFF" w:themeFill="background1"/>
        </w:rPr>
        <w:t>11 декабря 2020</w:t>
      </w:r>
      <w:r w:rsidRPr="00615F0E">
        <w:rPr>
          <w:rFonts w:ascii="Times New Roman" w:hAnsi="Times New Roman"/>
          <w:sz w:val="24"/>
          <w:szCs w:val="24"/>
          <w:shd w:val="clear" w:color="auto" w:fill="FFFFFF" w:themeFill="background1"/>
        </w:rPr>
        <w:t xml:space="preserve"> года,</w:t>
      </w:r>
      <w:r w:rsidRPr="00AE6C34">
        <w:rPr>
          <w:rFonts w:ascii="Times New Roman" w:hAnsi="Times New Roman"/>
          <w:sz w:val="24"/>
          <w:szCs w:val="24"/>
          <w:shd w:val="clear" w:color="auto" w:fill="FFFF00"/>
        </w:rPr>
        <w:t xml:space="preserve"> </w:t>
      </w:r>
      <w:r w:rsidRPr="0047550A">
        <w:rPr>
          <w:rFonts w:ascii="Times New Roman" w:hAnsi="Times New Roman"/>
          <w:sz w:val="24"/>
          <w:szCs w:val="24"/>
        </w:rPr>
        <w:t xml:space="preserve">регистрационный № </w:t>
      </w:r>
      <w:r w:rsidR="00AE6C34" w:rsidRPr="00615F0E">
        <w:rPr>
          <w:rFonts w:ascii="Times New Roman" w:hAnsi="Times New Roman"/>
          <w:sz w:val="24"/>
          <w:szCs w:val="24"/>
          <w:shd w:val="clear" w:color="auto" w:fill="FFFFFF" w:themeFill="background1"/>
        </w:rPr>
        <w:t>61391</w:t>
      </w:r>
      <w:r w:rsidRPr="0047550A">
        <w:rPr>
          <w:rFonts w:ascii="Times New Roman" w:hAnsi="Times New Roman"/>
          <w:sz w:val="24"/>
          <w:szCs w:val="24"/>
        </w:rPr>
        <w:t xml:space="preserve"> </w:t>
      </w:r>
      <w:r w:rsidR="004857AE">
        <w:rPr>
          <w:rFonts w:ascii="Times New Roman" w:hAnsi="Times New Roman"/>
          <w:sz w:val="24"/>
          <w:szCs w:val="24"/>
        </w:rPr>
        <w:t>,</w:t>
      </w:r>
      <w:r w:rsidRPr="0047550A">
        <w:rPr>
          <w:rFonts w:ascii="Times New Roman" w:hAnsi="Times New Roman"/>
          <w:color w:val="FF0000"/>
          <w:sz w:val="24"/>
          <w:szCs w:val="24"/>
          <w:u w:val="single"/>
        </w:rPr>
        <w:t>УКАЗАТЬ НАИМЕНОВАНИЕ, ДАТУ ВЫДАЧИ, СРОК ДЕЙСТВИЯ  И НОМЕР СРО, ВИД РАЗРЕШЁННОЙ ДЕЯТЕЛЬНОСТИ ПО СРО</w:t>
      </w:r>
    </w:p>
    <w:p w14:paraId="599911FF" w14:textId="77777777" w:rsidR="008537CC" w:rsidRPr="0047550A" w:rsidRDefault="008537CC"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77777777"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2.2. Общий срок исполнения работ по настоящему договору _______________ календарных дней 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lastRenderedPageBreak/>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53AE5FEE"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25417E" w:rsidRDefault="008537CC" w:rsidP="008537CC">
      <w:pPr>
        <w:pStyle w:val="afff4"/>
        <w:jc w:val="both"/>
        <w:rPr>
          <w:sz w:val="24"/>
        </w:rPr>
      </w:pPr>
      <w:r w:rsidRPr="0025417E">
        <w:rPr>
          <w:sz w:val="24"/>
        </w:rPr>
        <w:t>4.2. Порядок оплаты:</w:t>
      </w:r>
    </w:p>
    <w:p w14:paraId="7F8E18A5" w14:textId="43DE97BA" w:rsidR="0025417E" w:rsidRPr="0025417E" w:rsidRDefault="008537CC" w:rsidP="0025417E">
      <w:pPr>
        <w:spacing w:after="0"/>
        <w:jc w:val="both"/>
        <w:rPr>
          <w:rFonts w:ascii="Times New Roman" w:hAnsi="Times New Roman"/>
          <w:sz w:val="24"/>
          <w:szCs w:val="24"/>
        </w:rPr>
      </w:pPr>
      <w:r w:rsidRPr="0025417E">
        <w:rPr>
          <w:rFonts w:ascii="Times New Roman" w:hAnsi="Times New Roman"/>
          <w:sz w:val="24"/>
          <w:szCs w:val="24"/>
        </w:rPr>
        <w:t xml:space="preserve">4.2.1. Оплата по договору составляет </w:t>
      </w:r>
      <w:r w:rsidRPr="0025417E">
        <w:rPr>
          <w:rFonts w:ascii="Times New Roman" w:hAnsi="Times New Roman"/>
          <w:color w:val="FF0000"/>
          <w:sz w:val="24"/>
          <w:szCs w:val="24"/>
          <w:u w:val="single"/>
        </w:rPr>
        <w:t>УКАЗАТЬ СТОИМОСТЬ СОГЛАСНО РАЗДЕЛА 6, п. 6.1 ТЗ</w:t>
      </w:r>
      <w:r w:rsidRPr="0025417E">
        <w:rPr>
          <w:rFonts w:ascii="Times New Roman" w:hAnsi="Times New Roman"/>
          <w:color w:val="FF0000"/>
          <w:sz w:val="24"/>
          <w:szCs w:val="24"/>
        </w:rPr>
        <w:t xml:space="preserve"> </w:t>
      </w:r>
      <w:r w:rsidRPr="0025417E">
        <w:rPr>
          <w:rFonts w:ascii="Times New Roman" w:hAnsi="Times New Roman"/>
          <w:sz w:val="24"/>
          <w:szCs w:val="24"/>
        </w:rPr>
        <w:t>, осуществляется</w:t>
      </w:r>
      <w:bookmarkStart w:id="537" w:name="p05_4"/>
      <w:bookmarkEnd w:id="536"/>
      <w:bookmarkEnd w:id="537"/>
      <w:r w:rsidRPr="0025417E">
        <w:rPr>
          <w:rFonts w:ascii="Times New Roman" w:hAnsi="Times New Roman"/>
          <w:sz w:val="24"/>
          <w:szCs w:val="24"/>
        </w:rPr>
        <w:t xml:space="preserve"> </w:t>
      </w:r>
      <w:r w:rsidR="00A93C35" w:rsidRPr="0025417E">
        <w:rPr>
          <w:rFonts w:ascii="Times New Roman" w:hAnsi="Times New Roman"/>
          <w:sz w:val="24"/>
          <w:szCs w:val="24"/>
        </w:rPr>
        <w:t>:</w:t>
      </w:r>
    </w:p>
    <w:p w14:paraId="5603C547" w14:textId="7CFFF7EB" w:rsidR="008E3984" w:rsidRPr="005B276E" w:rsidRDefault="008E3984" w:rsidP="008E3984">
      <w:pPr>
        <w:framePr w:hSpace="180" w:wrap="around" w:vAnchor="text" w:hAnchor="margin" w:xAlign="right" w:y="75"/>
        <w:jc w:val="both"/>
        <w:rPr>
          <w:rFonts w:ascii="Times New Roman" w:hAnsi="Times New Roman"/>
          <w:sz w:val="22"/>
          <w:szCs w:val="22"/>
        </w:rPr>
      </w:pPr>
      <w:r w:rsidRPr="005B276E">
        <w:rPr>
          <w:rFonts w:ascii="Times New Roman" w:hAnsi="Times New Roman"/>
          <w:sz w:val="22"/>
          <w:szCs w:val="22"/>
        </w:rPr>
        <w:t xml:space="preserve">Авансирование в размере </w:t>
      </w:r>
      <w:r w:rsidR="00D14A5D">
        <w:rPr>
          <w:rFonts w:ascii="Times New Roman" w:hAnsi="Times New Roman"/>
          <w:sz w:val="22"/>
          <w:szCs w:val="22"/>
        </w:rPr>
        <w:t>1</w:t>
      </w:r>
      <w:r w:rsidRPr="005B276E">
        <w:rPr>
          <w:rFonts w:ascii="Times New Roman" w:hAnsi="Times New Roman"/>
          <w:sz w:val="22"/>
          <w:szCs w:val="22"/>
        </w:rPr>
        <w:t>0% договорной стоимости.</w:t>
      </w:r>
    </w:p>
    <w:p w14:paraId="07BD066A" w14:textId="4AB8BF53" w:rsidR="0025417E" w:rsidRPr="0025417E" w:rsidRDefault="00D14A5D" w:rsidP="008E3984">
      <w:pPr>
        <w:framePr w:hSpace="180" w:wrap="around" w:vAnchor="text" w:hAnchor="margin" w:xAlign="right" w:y="75"/>
        <w:jc w:val="both"/>
        <w:rPr>
          <w:rFonts w:ascii="Times New Roman" w:hAnsi="Times New Roman"/>
          <w:sz w:val="24"/>
          <w:szCs w:val="24"/>
        </w:rPr>
      </w:pPr>
      <w:r>
        <w:rPr>
          <w:rFonts w:ascii="Times New Roman" w:hAnsi="Times New Roman"/>
          <w:sz w:val="24"/>
          <w:szCs w:val="24"/>
        </w:rPr>
        <w:t>Окончательная о</w:t>
      </w:r>
      <w:r w:rsidR="008E3984" w:rsidRPr="007A3E75">
        <w:rPr>
          <w:rFonts w:ascii="Times New Roman" w:hAnsi="Times New Roman"/>
          <w:sz w:val="24"/>
          <w:szCs w:val="24"/>
        </w:rPr>
        <w:t xml:space="preserve">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w:t>
      </w:r>
      <w:r w:rsidR="008E3984">
        <w:rPr>
          <w:rFonts w:ascii="Times New Roman" w:hAnsi="Times New Roman"/>
          <w:sz w:val="24"/>
          <w:szCs w:val="24"/>
        </w:rPr>
        <w:t>9</w:t>
      </w:r>
      <w:r w:rsidR="008E3984" w:rsidRPr="007A3E75">
        <w:rPr>
          <w:rFonts w:ascii="Times New Roman" w:hAnsi="Times New Roman"/>
          <w:sz w:val="24"/>
          <w:szCs w:val="24"/>
        </w:rPr>
        <w:t>0% договорной стоимости, либо при закрытии работ этапами пообъектно с предоставлением необходимых бухгалтерских документов и подписанных обеими ст</w:t>
      </w:r>
      <w:r w:rsidR="008E3984">
        <w:rPr>
          <w:rFonts w:ascii="Times New Roman" w:hAnsi="Times New Roman"/>
          <w:sz w:val="24"/>
          <w:szCs w:val="24"/>
        </w:rPr>
        <w:t>оронами в установленном порядке</w:t>
      </w:r>
      <w:r w:rsidR="0025417E" w:rsidRPr="0025417E">
        <w:rPr>
          <w:rFonts w:ascii="Times New Roman" w:hAnsi="Times New Roman"/>
          <w:sz w:val="24"/>
          <w:szCs w:val="24"/>
        </w:rPr>
        <w:t>.</w:t>
      </w:r>
    </w:p>
    <w:p w14:paraId="26DA8672" w14:textId="1A30ACC7" w:rsidR="008537CC" w:rsidRPr="0025417E" w:rsidRDefault="0025417E" w:rsidP="0025417E">
      <w:pPr>
        <w:framePr w:hSpace="180" w:wrap="around" w:vAnchor="text" w:hAnchor="margin" w:xAlign="right" w:y="75"/>
        <w:jc w:val="both"/>
        <w:rPr>
          <w:rFonts w:ascii="Times New Roman" w:hAnsi="Times New Roman"/>
          <w:sz w:val="24"/>
          <w:szCs w:val="24"/>
        </w:rPr>
      </w:pPr>
      <w:r>
        <w:rPr>
          <w:rFonts w:ascii="Times New Roman" w:hAnsi="Times New Roman"/>
          <w:sz w:val="24"/>
          <w:szCs w:val="24"/>
        </w:rPr>
        <w:t xml:space="preserve">         4.3 </w:t>
      </w:r>
      <w:r w:rsidR="008537CC" w:rsidRPr="0025417E">
        <w:rPr>
          <w:rFonts w:ascii="Times New Roman" w:hAnsi="Times New Roman"/>
          <w:sz w:val="24"/>
          <w:szCs w:val="24"/>
        </w:rPr>
        <w:t xml:space="preserve">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1915407E" w14:textId="77777777" w:rsidR="00A93C35" w:rsidRDefault="00A93C35" w:rsidP="00A93C35">
      <w:pPr>
        <w:pStyle w:val="afff4"/>
        <w:jc w:val="both"/>
        <w:rPr>
          <w:sz w:val="24"/>
          <w:lang w:val="ru-RU"/>
        </w:rPr>
      </w:pPr>
    </w:p>
    <w:p w14:paraId="6D0A6B82" w14:textId="77777777" w:rsidR="00A93C35" w:rsidRPr="00A93C35" w:rsidRDefault="00A93C35" w:rsidP="00A93C35">
      <w:pPr>
        <w:pStyle w:val="afff4"/>
        <w:jc w:val="both"/>
        <w:rPr>
          <w:sz w:val="24"/>
          <w:lang w:val="ru-RU"/>
        </w:rPr>
      </w:pP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lastRenderedPageBreak/>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Default="008537CC" w:rsidP="008537CC">
      <w:pPr>
        <w:pStyle w:val="afff4"/>
        <w:jc w:val="both"/>
        <w:rPr>
          <w:sz w:val="24"/>
          <w:lang w:val="ru-RU"/>
        </w:rPr>
      </w:pPr>
    </w:p>
    <w:p w14:paraId="2B25A7B8" w14:textId="77777777" w:rsidR="008E3984" w:rsidRPr="008E3984" w:rsidRDefault="008E3984" w:rsidP="008537CC">
      <w:pPr>
        <w:pStyle w:val="afff4"/>
        <w:jc w:val="both"/>
        <w:rPr>
          <w:sz w:val="24"/>
          <w:lang w:val="ru-RU"/>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Default="008537CC" w:rsidP="008537CC">
      <w:pPr>
        <w:pStyle w:val="afff4"/>
        <w:jc w:val="both"/>
        <w:rPr>
          <w:sz w:val="24"/>
          <w:lang w:val="ru-RU"/>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5EA00AF2" w14:textId="77777777" w:rsidR="008E3984" w:rsidRPr="008E3984" w:rsidRDefault="008E3984" w:rsidP="008537CC">
      <w:pPr>
        <w:pStyle w:val="afff4"/>
        <w:jc w:val="both"/>
        <w:rPr>
          <w:sz w:val="24"/>
          <w:lang w:val="ru-RU"/>
        </w:rPr>
      </w:pP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DB58C6">
      <w:pPr>
        <w:spacing w:after="0" w:line="240" w:lineRule="auto"/>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DB58C6">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Default="008537CC" w:rsidP="008537CC">
      <w:pPr>
        <w:pStyle w:val="afff4"/>
        <w:jc w:val="both"/>
        <w:rPr>
          <w:sz w:val="24"/>
          <w:lang w:val="ru-RU"/>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3CD0BC3B" w14:textId="77777777" w:rsidR="008E3984" w:rsidRPr="008E3984" w:rsidRDefault="008E3984" w:rsidP="008537CC">
      <w:pPr>
        <w:pStyle w:val="afff4"/>
        <w:jc w:val="both"/>
        <w:rPr>
          <w:sz w:val="24"/>
          <w:lang w:val="ru-RU"/>
        </w:rPr>
      </w:pP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Под указанными обстоятельствами Стороны понимают: стихийные бедствия, землетрясения, шторм, наводнения, экстремальные погодно-климатические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погодно-климатические условия, мошеннические и/или противоправные действия третьих лиц, военные перевороты, террористические акты, забастовки, блокады, гражданские волнения, массовые беспорядки, обстоятельства, ставшие следствием указов и </w:t>
      </w:r>
      <w:r w:rsidRPr="0047550A">
        <w:lastRenderedPageBreak/>
        <w:t>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с даты изменения.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lastRenderedPageBreak/>
        <w:t>9.7.  Все приложения к настоящему Договору являются его неотъемлемой частью.</w:t>
      </w:r>
    </w:p>
    <w:p w14:paraId="1AD4015F" w14:textId="77777777" w:rsidR="008537CC" w:rsidRPr="0047550A"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«Выборгтеплоэнерго»</w:t>
      </w:r>
    </w:p>
    <w:p w14:paraId="40F64914"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188800, г. Выборг, Ленинградская обл., </w:t>
      </w:r>
    </w:p>
    <w:p w14:paraId="435E4EF8"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C967B5">
      <w:pPr>
        <w:tabs>
          <w:tab w:val="num" w:pos="567"/>
        </w:tabs>
        <w:spacing w:after="0" w:line="240" w:lineRule="auto"/>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р/с с 40702810055390000440</w:t>
      </w:r>
    </w:p>
    <w:p w14:paraId="36320F34" w14:textId="77777777" w:rsidR="008537CC" w:rsidRPr="0047550A" w:rsidRDefault="008537CC" w:rsidP="00C967B5">
      <w:pPr>
        <w:spacing w:after="0" w:line="240" w:lineRule="auto"/>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«Выборгтеплоэнерго»</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2"/>
          <w:footerReference w:type="default" r:id="rId23"/>
          <w:pgSz w:w="11906" w:h="16838"/>
          <w:pgMar w:top="709" w:right="707" w:bottom="1134" w:left="1701" w:header="708" w:footer="708" w:gutter="0"/>
          <w:cols w:space="708"/>
          <w:docGrid w:linePitch="360"/>
        </w:sectPr>
      </w:pPr>
    </w:p>
    <w:p w14:paraId="1C288E7C" w14:textId="77777777" w:rsidR="006B4A30" w:rsidRDefault="006B4A30" w:rsidP="006B4A30"/>
    <w:p w14:paraId="5D505AA0" w14:textId="77777777" w:rsidR="007A3E75" w:rsidRPr="007A3E75" w:rsidRDefault="00013E35" w:rsidP="007A3E75">
      <w:pPr>
        <w:ind w:left="142"/>
        <w:jc w:val="center"/>
        <w:rPr>
          <w:rFonts w:ascii="Times New Roman" w:hAnsi="Times New Roman"/>
          <w:bCs/>
          <w:sz w:val="22"/>
          <w:szCs w:val="22"/>
        </w:rPr>
      </w:pPr>
      <w:r>
        <w:rPr>
          <w:rFonts w:ascii="Times New Roman" w:hAnsi="Times New Roman"/>
        </w:rPr>
        <w:t xml:space="preserve">9.  </w:t>
      </w:r>
      <w:r w:rsidR="00731CB7" w:rsidRPr="00013E35">
        <w:rPr>
          <w:rFonts w:ascii="Times New Roman" w:hAnsi="Times New Roman"/>
        </w:rPr>
        <w:t>ТЕХНИЧЕСКОЕ ЗАДАНИЕ</w:t>
      </w:r>
      <w:r w:rsidRPr="00013E35">
        <w:rPr>
          <w:rFonts w:ascii="Times New Roman" w:hAnsi="Times New Roman"/>
        </w:rPr>
        <w:br/>
      </w:r>
      <w:r w:rsidR="007A3E75" w:rsidRPr="007A3E75">
        <w:rPr>
          <w:rFonts w:ascii="Times New Roman" w:hAnsi="Times New Roman"/>
          <w:sz w:val="22"/>
          <w:szCs w:val="22"/>
        </w:rPr>
        <w:t xml:space="preserve">на выполнение комплекса работ по проведению экспертиз промышленной безопасности по опасным производственным объектам </w:t>
      </w:r>
      <w:r w:rsidR="007A3E75" w:rsidRPr="007A3E75">
        <w:rPr>
          <w:rFonts w:ascii="Times New Roman" w:hAnsi="Times New Roman"/>
          <w:sz w:val="22"/>
          <w:szCs w:val="22"/>
          <w:lang w:val="en-US"/>
        </w:rPr>
        <w:t>III</w:t>
      </w:r>
      <w:r w:rsidR="007A3E75" w:rsidRPr="007A3E75">
        <w:rPr>
          <w:rFonts w:ascii="Times New Roman" w:hAnsi="Times New Roman"/>
          <w:sz w:val="22"/>
          <w:szCs w:val="22"/>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«Выборгтеплоэнерго» в границах МО «Город Выборг» и  МО «Выборгский район» Ленинградской области в 2025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7A3E75" w:rsidRPr="000E565A" w14:paraId="65728C51" w14:textId="77777777" w:rsidTr="007A3E75">
        <w:tc>
          <w:tcPr>
            <w:tcW w:w="10456" w:type="dxa"/>
            <w:gridSpan w:val="2"/>
          </w:tcPr>
          <w:p w14:paraId="6EB1A1C3" w14:textId="77777777" w:rsidR="007A3E75" w:rsidRPr="007A3E75" w:rsidRDefault="007A3E75" w:rsidP="007A3E75">
            <w:pPr>
              <w:numPr>
                <w:ilvl w:val="0"/>
                <w:numId w:val="50"/>
              </w:numPr>
              <w:spacing w:after="0" w:line="240" w:lineRule="auto"/>
              <w:rPr>
                <w:rFonts w:ascii="Times New Roman" w:hAnsi="Times New Roman"/>
                <w:b/>
                <w:sz w:val="24"/>
                <w:szCs w:val="24"/>
              </w:rPr>
            </w:pPr>
            <w:r w:rsidRPr="007A3E75">
              <w:rPr>
                <w:rFonts w:ascii="Times New Roman" w:hAnsi="Times New Roman"/>
                <w:b/>
                <w:sz w:val="24"/>
                <w:szCs w:val="24"/>
              </w:rPr>
              <w:t xml:space="preserve">Общие данные </w:t>
            </w:r>
          </w:p>
          <w:p w14:paraId="2F97966C" w14:textId="77777777" w:rsidR="007A3E75" w:rsidRPr="007A3E75" w:rsidRDefault="007A3E75" w:rsidP="007A3E75">
            <w:pPr>
              <w:ind w:left="720"/>
              <w:rPr>
                <w:rFonts w:ascii="Times New Roman" w:hAnsi="Times New Roman"/>
                <w:b/>
                <w:sz w:val="24"/>
                <w:szCs w:val="24"/>
              </w:rPr>
            </w:pPr>
          </w:p>
        </w:tc>
      </w:tr>
      <w:tr w:rsidR="007A3E75" w:rsidRPr="006F257E" w14:paraId="0B0AFDEA" w14:textId="77777777" w:rsidTr="007A3E75">
        <w:tc>
          <w:tcPr>
            <w:tcW w:w="2802" w:type="dxa"/>
          </w:tcPr>
          <w:p w14:paraId="767DEC85" w14:textId="77777777" w:rsidR="007A3E75" w:rsidRPr="007A3E75" w:rsidRDefault="007A3E75" w:rsidP="007A3E75">
            <w:pPr>
              <w:numPr>
                <w:ilvl w:val="1"/>
                <w:numId w:val="49"/>
              </w:numPr>
              <w:tabs>
                <w:tab w:val="left" w:pos="426"/>
              </w:tabs>
              <w:spacing w:after="0" w:line="240" w:lineRule="auto"/>
              <w:rPr>
                <w:rFonts w:ascii="Times New Roman" w:hAnsi="Times New Roman"/>
                <w:sz w:val="24"/>
                <w:szCs w:val="24"/>
              </w:rPr>
            </w:pPr>
            <w:r w:rsidRPr="007A3E75">
              <w:rPr>
                <w:rFonts w:ascii="Times New Roman" w:hAnsi="Times New Roman"/>
                <w:sz w:val="24"/>
                <w:szCs w:val="24"/>
              </w:rPr>
              <w:t>Заказчик</w:t>
            </w:r>
          </w:p>
        </w:tc>
        <w:tc>
          <w:tcPr>
            <w:tcW w:w="7654" w:type="dxa"/>
          </w:tcPr>
          <w:p w14:paraId="57E79623" w14:textId="77777777" w:rsidR="007A3E75" w:rsidRPr="007A3E75" w:rsidRDefault="007A3E75" w:rsidP="007A3E75">
            <w:pPr>
              <w:rPr>
                <w:rFonts w:ascii="Times New Roman" w:hAnsi="Times New Roman"/>
                <w:bCs/>
                <w:sz w:val="24"/>
                <w:szCs w:val="24"/>
              </w:rPr>
            </w:pPr>
            <w:r w:rsidRPr="007A3E75">
              <w:rPr>
                <w:rFonts w:ascii="Times New Roman" w:hAnsi="Times New Roman"/>
                <w:bCs/>
                <w:sz w:val="24"/>
                <w:szCs w:val="24"/>
              </w:rPr>
              <w:t>АО «Выборгтеплоэнерго» ИНН 4704062064</w:t>
            </w:r>
          </w:p>
          <w:p w14:paraId="6A77A53D" w14:textId="77777777" w:rsidR="007A3E75" w:rsidRPr="007A3E75" w:rsidRDefault="007A3E75" w:rsidP="007A3E75">
            <w:pPr>
              <w:rPr>
                <w:rFonts w:ascii="Times New Roman" w:hAnsi="Times New Roman"/>
                <w:bCs/>
                <w:sz w:val="24"/>
                <w:szCs w:val="24"/>
              </w:rPr>
            </w:pPr>
            <w:r w:rsidRPr="007A3E75">
              <w:rPr>
                <w:rFonts w:ascii="Times New Roman" w:hAnsi="Times New Roman"/>
                <w:bCs/>
                <w:sz w:val="24"/>
                <w:szCs w:val="24"/>
              </w:rPr>
              <w:t>188800, Ленинградская область, г. Выборг, ул. Сухова, д. 2</w:t>
            </w:r>
          </w:p>
        </w:tc>
      </w:tr>
      <w:tr w:rsidR="007A3E75" w:rsidRPr="006F257E" w14:paraId="5BEBEC27" w14:textId="77777777" w:rsidTr="007A3E75">
        <w:trPr>
          <w:trHeight w:val="60"/>
        </w:trPr>
        <w:tc>
          <w:tcPr>
            <w:tcW w:w="2802" w:type="dxa"/>
          </w:tcPr>
          <w:p w14:paraId="3FBBAAF0"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t>1.2.  Места расположения и наименование зданий (сооружений) с проведением соответствующих</w:t>
            </w:r>
          </w:p>
          <w:p w14:paraId="1D99841E" w14:textId="77777777" w:rsidR="007A3E75" w:rsidRPr="007A3E75" w:rsidRDefault="007A3E75" w:rsidP="007A3E75">
            <w:pPr>
              <w:rPr>
                <w:rFonts w:ascii="Times New Roman" w:hAnsi="Times New Roman"/>
                <w:b/>
                <w:sz w:val="24"/>
                <w:szCs w:val="24"/>
              </w:rPr>
            </w:pPr>
            <w:r w:rsidRPr="007A3E75">
              <w:rPr>
                <w:rFonts w:ascii="Times New Roman" w:hAnsi="Times New Roman"/>
                <w:sz w:val="24"/>
                <w:szCs w:val="24"/>
              </w:rPr>
              <w:t xml:space="preserve">технических освидетельствований      ( </w:t>
            </w:r>
            <w:r w:rsidRPr="007A3E75">
              <w:rPr>
                <w:rFonts w:ascii="Times New Roman" w:hAnsi="Times New Roman"/>
                <w:b/>
                <w:sz w:val="24"/>
                <w:szCs w:val="24"/>
              </w:rPr>
              <w:t xml:space="preserve"> ЭПБ – </w:t>
            </w:r>
            <w:r w:rsidRPr="007A3E75">
              <w:rPr>
                <w:rFonts w:ascii="Times New Roman" w:hAnsi="Times New Roman"/>
                <w:sz w:val="24"/>
                <w:szCs w:val="24"/>
              </w:rPr>
              <w:t>экспертиза промышленной безопасности)  зданий с целью продления сроков эксплуатации и выполнения выявленных компенсирующих мероприятий (заключение ЭПБ и акт  или отчёт о результатах проведённого ТД  с графическими материалами);</w:t>
            </w:r>
          </w:p>
          <w:p w14:paraId="256E3EF4" w14:textId="77777777" w:rsidR="007A3E75" w:rsidRPr="007A3E75" w:rsidRDefault="007A3E75" w:rsidP="007A3E75">
            <w:pPr>
              <w:rPr>
                <w:rFonts w:ascii="Times New Roman" w:hAnsi="Times New Roman"/>
                <w:sz w:val="24"/>
                <w:szCs w:val="24"/>
              </w:rPr>
            </w:pPr>
            <w:r w:rsidRPr="007A3E75">
              <w:rPr>
                <w:rFonts w:ascii="Times New Roman" w:hAnsi="Times New Roman"/>
                <w:b/>
                <w:sz w:val="24"/>
                <w:szCs w:val="24"/>
              </w:rPr>
              <w:t xml:space="preserve">О – </w:t>
            </w:r>
            <w:r w:rsidRPr="007A3E75">
              <w:rPr>
                <w:rFonts w:ascii="Times New Roman" w:hAnsi="Times New Roman"/>
                <w:sz w:val="24"/>
                <w:szCs w:val="24"/>
              </w:rPr>
              <w:t xml:space="preserve">обследование в целях мониторинга технического состояния сооружений с дальнейшим продлением сроков эксплуатации и определением </w:t>
            </w:r>
            <w:r w:rsidRPr="007A3E75">
              <w:rPr>
                <w:rFonts w:ascii="Times New Roman" w:hAnsi="Times New Roman"/>
                <w:sz w:val="24"/>
                <w:szCs w:val="24"/>
              </w:rPr>
              <w:lastRenderedPageBreak/>
              <w:t>компенсирующих мероприятий).</w:t>
            </w:r>
          </w:p>
        </w:tc>
        <w:tc>
          <w:tcPr>
            <w:tcW w:w="7654" w:type="dxa"/>
          </w:tcPr>
          <w:p w14:paraId="1171D822" w14:textId="77777777" w:rsidR="007A3E75" w:rsidRPr="007A3E75" w:rsidRDefault="007A3E75" w:rsidP="007A3E75">
            <w:pPr>
              <w:jc w:val="both"/>
              <w:rPr>
                <w:rFonts w:ascii="Times New Roman" w:hAnsi="Times New Roman"/>
                <w:b/>
                <w:bCs/>
                <w:sz w:val="24"/>
                <w:szCs w:val="24"/>
                <w:u w:val="single"/>
              </w:rPr>
            </w:pPr>
            <w:r w:rsidRPr="007A3E75">
              <w:rPr>
                <w:rFonts w:ascii="Times New Roman" w:hAnsi="Times New Roman"/>
                <w:b/>
                <w:bCs/>
                <w:sz w:val="24"/>
                <w:szCs w:val="24"/>
                <w:u w:val="single"/>
              </w:rPr>
              <w:lastRenderedPageBreak/>
              <w:t xml:space="preserve">ОПАСНЫЕ ПРОИЗВОДСТВЕННЫЕ ОБЪЕКТЫ: </w:t>
            </w:r>
          </w:p>
          <w:p w14:paraId="577D3A63" w14:textId="77777777" w:rsidR="007A3E75" w:rsidRPr="007A3E75" w:rsidRDefault="007A3E75" w:rsidP="007A3E75">
            <w:pPr>
              <w:jc w:val="both"/>
              <w:rPr>
                <w:rFonts w:ascii="Times New Roman" w:hAnsi="Times New Roman"/>
                <w:b/>
                <w:bCs/>
                <w:sz w:val="24"/>
                <w:szCs w:val="24"/>
                <w:u w:val="single"/>
              </w:rPr>
            </w:pPr>
          </w:p>
          <w:p w14:paraId="7A35BDFB"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lang w:val="en-US"/>
              </w:rPr>
              <w:t>I</w:t>
            </w:r>
            <w:r w:rsidRPr="007A3E75">
              <w:rPr>
                <w:rFonts w:ascii="Times New Roman" w:hAnsi="Times New Roman"/>
                <w:b/>
                <w:bCs/>
                <w:sz w:val="24"/>
                <w:szCs w:val="24"/>
              </w:rPr>
              <w:t xml:space="preserve">. «Система теплоснабжения МО «Выборгский район» Ленинградской области», РЕГ. № А20-01352-0024,                                        </w:t>
            </w:r>
            <w:r w:rsidRPr="007A3E75">
              <w:rPr>
                <w:rFonts w:ascii="Times New Roman" w:hAnsi="Times New Roman"/>
                <w:b/>
                <w:bCs/>
                <w:sz w:val="24"/>
                <w:szCs w:val="24"/>
                <w:lang w:val="en-US"/>
              </w:rPr>
              <w:t>III</w:t>
            </w:r>
            <w:r w:rsidRPr="007A3E75">
              <w:rPr>
                <w:rFonts w:ascii="Times New Roman" w:hAnsi="Times New Roman"/>
                <w:b/>
                <w:bCs/>
                <w:sz w:val="24"/>
                <w:szCs w:val="24"/>
              </w:rPr>
              <w:t xml:space="preserve"> </w:t>
            </w:r>
            <w:r w:rsidRPr="007A3E75">
              <w:rPr>
                <w:rFonts w:ascii="Times New Roman" w:hAnsi="Times New Roman"/>
                <w:sz w:val="24"/>
                <w:szCs w:val="24"/>
              </w:rPr>
              <w:t xml:space="preserve"> </w:t>
            </w:r>
            <w:r w:rsidRPr="007A3E75">
              <w:rPr>
                <w:rFonts w:ascii="Times New Roman" w:hAnsi="Times New Roman"/>
                <w:b/>
                <w:bCs/>
                <w:sz w:val="24"/>
                <w:szCs w:val="24"/>
              </w:rPr>
              <w:t>класс опасности :</w:t>
            </w:r>
          </w:p>
          <w:p w14:paraId="7AC6341A"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 </w:t>
            </w:r>
          </w:p>
          <w:p w14:paraId="20C9B545"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753BDA3A"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МО  «Красносельское СП», п. Коробицыно,  Церковный пер, д. 2I.</w:t>
            </w:r>
          </w:p>
          <w:p w14:paraId="142FCBD3"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
                <w:bCs/>
                <w:sz w:val="24"/>
                <w:szCs w:val="24"/>
              </w:rPr>
              <w:t xml:space="preserve">  </w:t>
            </w:r>
            <w:r w:rsidRPr="007A3E75">
              <w:rPr>
                <w:rFonts w:ascii="Times New Roman" w:hAnsi="Times New Roman"/>
                <w:bCs/>
                <w:sz w:val="24"/>
                <w:szCs w:val="24"/>
              </w:rPr>
              <w:t>а) Здание котельной (S – 1233,6  м</w:t>
            </w:r>
            <w:r w:rsidRPr="007A3E75">
              <w:rPr>
                <w:rFonts w:ascii="Times New Roman" w:hAnsi="Times New Roman"/>
                <w:bCs/>
                <w:sz w:val="24"/>
                <w:szCs w:val="24"/>
                <w:vertAlign w:val="superscript"/>
              </w:rPr>
              <w:t>2</w:t>
            </w:r>
            <w:r w:rsidRPr="007A3E75">
              <w:rPr>
                <w:rFonts w:ascii="Times New Roman" w:hAnsi="Times New Roman"/>
                <w:bCs/>
                <w:sz w:val="24"/>
                <w:szCs w:val="24"/>
              </w:rPr>
              <w:t xml:space="preserve">)   </w:t>
            </w:r>
          </w:p>
          <w:p w14:paraId="08AB0E96"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ЭПБ до 01.05.2025 года</w:t>
            </w:r>
          </w:p>
          <w:p w14:paraId="255B350F"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Cs/>
                <w:sz w:val="24"/>
                <w:szCs w:val="24"/>
              </w:rPr>
              <w:t xml:space="preserve">      с обязательной отметкой в паспорте</w:t>
            </w:r>
            <w:r w:rsidRPr="007A3E75">
              <w:rPr>
                <w:rFonts w:ascii="Times New Roman" w:hAnsi="Times New Roman"/>
                <w:b/>
                <w:bCs/>
                <w:sz w:val="24"/>
                <w:szCs w:val="24"/>
              </w:rPr>
              <w:t xml:space="preserve">.  </w:t>
            </w:r>
          </w:p>
          <w:p w14:paraId="370F4C81" w14:textId="77777777" w:rsidR="007A3E75" w:rsidRPr="007A3E75" w:rsidRDefault="007A3E75" w:rsidP="007A3E75">
            <w:pPr>
              <w:jc w:val="both"/>
              <w:rPr>
                <w:rFonts w:ascii="Times New Roman" w:hAnsi="Times New Roman"/>
                <w:b/>
                <w:bCs/>
                <w:sz w:val="24"/>
                <w:szCs w:val="24"/>
              </w:rPr>
            </w:pPr>
          </w:p>
          <w:p w14:paraId="60F6B259"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7324F717"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МО «Каменногорское ГП», г. Каменногорск,</w:t>
            </w:r>
          </w:p>
          <w:p w14:paraId="6C2829BC"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Ленинградское шоссе,д.117</w:t>
            </w:r>
          </w:p>
          <w:p w14:paraId="5BD5FF37"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  а) Металлическая дымовая труба котельной;</w:t>
            </w:r>
            <w:r w:rsidRPr="007A3E75">
              <w:rPr>
                <w:rFonts w:ascii="Times New Roman" w:hAnsi="Times New Roman"/>
                <w:sz w:val="24"/>
                <w:szCs w:val="24"/>
              </w:rPr>
              <w:t xml:space="preserve"> </w:t>
            </w:r>
            <w:r w:rsidRPr="007A3E75">
              <w:rPr>
                <w:rFonts w:ascii="Times New Roman" w:hAnsi="Times New Roman"/>
                <w:bCs/>
                <w:sz w:val="24"/>
                <w:szCs w:val="24"/>
              </w:rPr>
              <w:t xml:space="preserve">Н = 18м      </w:t>
            </w:r>
          </w:p>
          <w:p w14:paraId="3BACCCCE"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  </w:t>
            </w:r>
            <w:r w:rsidRPr="007A3E75">
              <w:rPr>
                <w:rFonts w:ascii="Times New Roman" w:hAnsi="Times New Roman"/>
                <w:b/>
                <w:bCs/>
                <w:sz w:val="24"/>
                <w:szCs w:val="24"/>
              </w:rPr>
              <w:t>О до 30.03.2025 года</w:t>
            </w:r>
            <w:r w:rsidRPr="007A3E75">
              <w:rPr>
                <w:rFonts w:ascii="Times New Roman" w:hAnsi="Times New Roman"/>
                <w:bCs/>
                <w:sz w:val="24"/>
                <w:szCs w:val="24"/>
              </w:rPr>
              <w:t xml:space="preserve">  </w:t>
            </w:r>
          </w:p>
          <w:p w14:paraId="6F39BCEC"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Cs/>
                <w:sz w:val="24"/>
                <w:szCs w:val="24"/>
              </w:rPr>
              <w:t>с обязательной отметкой в паспорте.</w:t>
            </w:r>
            <w:r w:rsidRPr="007A3E75">
              <w:rPr>
                <w:rFonts w:ascii="Times New Roman" w:hAnsi="Times New Roman"/>
                <w:b/>
                <w:bCs/>
                <w:sz w:val="24"/>
                <w:szCs w:val="24"/>
              </w:rPr>
              <w:t xml:space="preserve">  </w:t>
            </w:r>
          </w:p>
          <w:p w14:paraId="15118B85" w14:textId="77777777" w:rsidR="007A3E75" w:rsidRPr="007A3E75" w:rsidRDefault="007A3E75" w:rsidP="007A3E75">
            <w:pPr>
              <w:jc w:val="both"/>
              <w:rPr>
                <w:rFonts w:ascii="Times New Roman" w:hAnsi="Times New Roman"/>
                <w:b/>
                <w:bCs/>
                <w:sz w:val="24"/>
                <w:szCs w:val="24"/>
              </w:rPr>
            </w:pPr>
          </w:p>
          <w:p w14:paraId="5D222270"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lastRenderedPageBreak/>
              <w:t>- Котельная,</w:t>
            </w:r>
          </w:p>
          <w:p w14:paraId="01901A94"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МО «Каменногорское ГП»,   п. Пруды, ул. Гранитная, соор.24</w:t>
            </w:r>
          </w:p>
          <w:p w14:paraId="105844DC"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а) Металлическая дымовая труба котельной № 1,2 ; Н = 20 м </w:t>
            </w:r>
          </w:p>
          <w:p w14:paraId="25565C07"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
                <w:bCs/>
                <w:sz w:val="24"/>
                <w:szCs w:val="24"/>
              </w:rPr>
              <w:t>О до 03.03.2025</w:t>
            </w:r>
            <w:r w:rsidRPr="007A3E75">
              <w:rPr>
                <w:rFonts w:ascii="Times New Roman" w:hAnsi="Times New Roman"/>
                <w:bCs/>
                <w:sz w:val="24"/>
                <w:szCs w:val="24"/>
              </w:rPr>
              <w:t xml:space="preserve"> </w:t>
            </w:r>
            <w:r w:rsidRPr="007A3E75">
              <w:rPr>
                <w:rFonts w:ascii="Times New Roman" w:hAnsi="Times New Roman"/>
                <w:b/>
                <w:bCs/>
                <w:sz w:val="24"/>
                <w:szCs w:val="24"/>
              </w:rPr>
              <w:t>года</w:t>
            </w:r>
          </w:p>
          <w:p w14:paraId="7D154F0B"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 с обязательной отметкой в паспорте.  </w:t>
            </w:r>
          </w:p>
          <w:p w14:paraId="35866108" w14:textId="77777777" w:rsidR="007A3E75" w:rsidRPr="007A3E75" w:rsidRDefault="007A3E75" w:rsidP="007A3E75">
            <w:pPr>
              <w:jc w:val="both"/>
              <w:rPr>
                <w:rFonts w:ascii="Times New Roman" w:hAnsi="Times New Roman"/>
                <w:bCs/>
                <w:sz w:val="24"/>
                <w:szCs w:val="24"/>
              </w:rPr>
            </w:pPr>
          </w:p>
          <w:p w14:paraId="7F452DB8"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lang w:val="en-US"/>
              </w:rPr>
              <w:t>II</w:t>
            </w:r>
            <w:r w:rsidRPr="007A3E75">
              <w:rPr>
                <w:rFonts w:ascii="Times New Roman" w:hAnsi="Times New Roman"/>
                <w:b/>
                <w:bCs/>
                <w:sz w:val="24"/>
                <w:szCs w:val="24"/>
              </w:rPr>
              <w:t xml:space="preserve">. «Система теплоснабжения г. Выборга», РЕГ. № А20-01352-0008, </w:t>
            </w:r>
          </w:p>
          <w:p w14:paraId="1BF7E66E"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III класс опасности</w:t>
            </w:r>
          </w:p>
          <w:p w14:paraId="104FC3BC" w14:textId="77777777" w:rsidR="007A3E75" w:rsidRPr="007A3E75" w:rsidRDefault="007A3E75" w:rsidP="007A3E75">
            <w:pPr>
              <w:jc w:val="both"/>
              <w:rPr>
                <w:rFonts w:ascii="Times New Roman" w:hAnsi="Times New Roman"/>
                <w:b/>
                <w:bCs/>
                <w:sz w:val="24"/>
                <w:szCs w:val="24"/>
              </w:rPr>
            </w:pPr>
          </w:p>
          <w:p w14:paraId="5F14B87F"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38F6B8A1"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г. Выборг, ул. Куйбышева, д.23</w:t>
            </w:r>
          </w:p>
          <w:p w14:paraId="6C15BFD1"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а)Кирпичная дымовая труба паровой части</w:t>
            </w:r>
            <w:r w:rsidRPr="007A3E75">
              <w:rPr>
                <w:rFonts w:ascii="Times New Roman" w:hAnsi="Times New Roman"/>
                <w:sz w:val="24"/>
                <w:szCs w:val="24"/>
              </w:rPr>
              <w:t xml:space="preserve"> </w:t>
            </w:r>
            <w:r w:rsidRPr="007A3E75">
              <w:rPr>
                <w:rFonts w:ascii="Times New Roman" w:hAnsi="Times New Roman"/>
                <w:bCs/>
                <w:sz w:val="24"/>
                <w:szCs w:val="24"/>
              </w:rPr>
              <w:t>котельной, Н = 45 м</w:t>
            </w:r>
          </w:p>
          <w:p w14:paraId="196CB222"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xml:space="preserve"> ЭПБ до 01.09.2025 года</w:t>
            </w:r>
          </w:p>
          <w:p w14:paraId="79FA89E8"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с обязательной отметкой в паспорте.  </w:t>
            </w:r>
          </w:p>
          <w:p w14:paraId="1B897508"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б)Кирпичная дымовая труба водогрейной части котельной, Н = 80 м</w:t>
            </w:r>
          </w:p>
          <w:p w14:paraId="035B6F07"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xml:space="preserve"> ЭПБ до 01.09.2025 года</w:t>
            </w:r>
          </w:p>
          <w:p w14:paraId="65BF1F15"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Cs/>
                <w:sz w:val="24"/>
                <w:szCs w:val="24"/>
              </w:rPr>
              <w:t>с обязательной отметкой в паспорте</w:t>
            </w:r>
            <w:r w:rsidRPr="007A3E75">
              <w:rPr>
                <w:rFonts w:ascii="Times New Roman" w:hAnsi="Times New Roman"/>
                <w:b/>
                <w:bCs/>
                <w:sz w:val="24"/>
                <w:szCs w:val="24"/>
              </w:rPr>
              <w:t xml:space="preserve">.  </w:t>
            </w:r>
          </w:p>
          <w:p w14:paraId="701843AA" w14:textId="77777777" w:rsidR="007A3E75" w:rsidRPr="007A3E75" w:rsidRDefault="007A3E75" w:rsidP="007A3E75">
            <w:pPr>
              <w:jc w:val="both"/>
              <w:rPr>
                <w:rFonts w:ascii="Times New Roman" w:hAnsi="Times New Roman"/>
                <w:bCs/>
                <w:sz w:val="24"/>
                <w:szCs w:val="24"/>
              </w:rPr>
            </w:pPr>
          </w:p>
          <w:p w14:paraId="6DE8C532"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15E1F359"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г. Выборг,  ул. Большая Каменная, д.18</w:t>
            </w:r>
          </w:p>
          <w:p w14:paraId="18414B44"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а) Железобетонная дымовая труба, Н = 90 м, </w:t>
            </w:r>
          </w:p>
          <w:p w14:paraId="1BF13072"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ЭПБ до 01.09.2025 года</w:t>
            </w:r>
          </w:p>
          <w:p w14:paraId="0EDC367F"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с обязательной отметкой в паспорте.  </w:t>
            </w:r>
          </w:p>
          <w:p w14:paraId="312358A4"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340C4F64"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г. Выборг, Сайменское шоссе,д.44</w:t>
            </w:r>
          </w:p>
          <w:p w14:paraId="574E7190"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Cs/>
                <w:sz w:val="24"/>
                <w:szCs w:val="24"/>
              </w:rPr>
              <w:t>а) Металлическая дымовая труба, Н = 20</w:t>
            </w:r>
            <w:r w:rsidRPr="007A3E75">
              <w:rPr>
                <w:rFonts w:ascii="Times New Roman" w:hAnsi="Times New Roman"/>
                <w:b/>
                <w:bCs/>
                <w:sz w:val="24"/>
                <w:szCs w:val="24"/>
              </w:rPr>
              <w:t xml:space="preserve"> </w:t>
            </w:r>
            <w:r w:rsidRPr="007A3E75">
              <w:rPr>
                <w:rFonts w:ascii="Times New Roman" w:hAnsi="Times New Roman"/>
                <w:bCs/>
                <w:sz w:val="24"/>
                <w:szCs w:val="24"/>
              </w:rPr>
              <w:t xml:space="preserve">м </w:t>
            </w:r>
          </w:p>
          <w:p w14:paraId="77679107"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О до 30.03.2025 года</w:t>
            </w:r>
          </w:p>
          <w:p w14:paraId="5B33B313" w14:textId="77777777" w:rsidR="007A3E75" w:rsidRPr="007A3E75" w:rsidRDefault="007A3E75" w:rsidP="007A3E75">
            <w:pPr>
              <w:jc w:val="both"/>
              <w:rPr>
                <w:rFonts w:ascii="Times New Roman" w:hAnsi="Times New Roman"/>
                <w:b/>
                <w:bCs/>
                <w:sz w:val="24"/>
                <w:szCs w:val="24"/>
              </w:rPr>
            </w:pPr>
          </w:p>
          <w:p w14:paraId="6969D191"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 Котельная,</w:t>
            </w:r>
          </w:p>
          <w:p w14:paraId="1B999692"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
                <w:bCs/>
                <w:sz w:val="24"/>
                <w:szCs w:val="24"/>
              </w:rPr>
              <w:t>Выборг, Складской проезд, д. 3</w:t>
            </w:r>
          </w:p>
          <w:p w14:paraId="6E323248" w14:textId="77777777" w:rsidR="007A3E75" w:rsidRPr="007A3E75" w:rsidRDefault="007A3E75" w:rsidP="007A3E75">
            <w:pPr>
              <w:jc w:val="both"/>
              <w:rPr>
                <w:rFonts w:ascii="Times New Roman" w:hAnsi="Times New Roman"/>
                <w:bCs/>
                <w:sz w:val="24"/>
                <w:szCs w:val="24"/>
              </w:rPr>
            </w:pPr>
            <w:r w:rsidRPr="007A3E75">
              <w:rPr>
                <w:rFonts w:ascii="Times New Roman" w:hAnsi="Times New Roman"/>
                <w:bCs/>
                <w:sz w:val="24"/>
                <w:szCs w:val="24"/>
              </w:rPr>
              <w:t xml:space="preserve">а) Металлическая дымовая труба, Н = 20 м </w:t>
            </w:r>
          </w:p>
          <w:p w14:paraId="16BFECCB" w14:textId="77777777" w:rsidR="007A3E75" w:rsidRPr="007A3E75" w:rsidRDefault="007A3E75" w:rsidP="007A3E75">
            <w:pPr>
              <w:jc w:val="both"/>
              <w:rPr>
                <w:rFonts w:ascii="Times New Roman" w:hAnsi="Times New Roman"/>
                <w:b/>
                <w:bCs/>
                <w:sz w:val="24"/>
                <w:szCs w:val="24"/>
              </w:rPr>
            </w:pPr>
            <w:r w:rsidRPr="007A3E75">
              <w:rPr>
                <w:rFonts w:ascii="Times New Roman" w:hAnsi="Times New Roman"/>
                <w:bCs/>
                <w:sz w:val="24"/>
                <w:szCs w:val="24"/>
              </w:rPr>
              <w:t xml:space="preserve"> </w:t>
            </w:r>
            <w:r w:rsidRPr="007A3E75">
              <w:rPr>
                <w:rFonts w:ascii="Times New Roman" w:hAnsi="Times New Roman"/>
                <w:b/>
                <w:bCs/>
                <w:sz w:val="24"/>
                <w:szCs w:val="24"/>
              </w:rPr>
              <w:t>О до 25.03.2025 года</w:t>
            </w:r>
          </w:p>
        </w:tc>
      </w:tr>
      <w:tr w:rsidR="007A3E75" w:rsidRPr="006F257E" w14:paraId="0C514CCC" w14:textId="77777777" w:rsidTr="007A3E75">
        <w:trPr>
          <w:trHeight w:val="345"/>
        </w:trPr>
        <w:tc>
          <w:tcPr>
            <w:tcW w:w="2802" w:type="dxa"/>
          </w:tcPr>
          <w:p w14:paraId="04CF8E28"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lastRenderedPageBreak/>
              <w:t>1.3. Требования к составу  работ</w:t>
            </w:r>
          </w:p>
        </w:tc>
        <w:tc>
          <w:tcPr>
            <w:tcW w:w="7654" w:type="dxa"/>
          </w:tcPr>
          <w:p w14:paraId="298D3CEB"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Проведение технических освидетельствований указанных зданий (сооружений) согласно разделу 1 п. 1.2 настоящего технического задания (экспертизы промышленной безопасности, обследования)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Ростехнадзора от 20.10.2020 г. № 420, «Правила технической эксплуатации тепловых энергоустановок», утверждённых приказом Минэнерго России от 24.03.2003 г. № 115,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Ростехнадзора от 15.12.2020 г. № 536, ФНП в области промышленной безопасности «Правила безопасности сетей газораспределения и газопотребления»,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ТР ТС 010/2011., Технического регламента « О безопасности сетей газораспределения и газопотребления»,   утверждённых приказом Ростехнадзора от 15.12.2020 № 531, ГОСТ 31937-2011, РД 22-01-97, СП 13-101-99, СП 13-102-2003; СП 89.13330.2016):</w:t>
            </w:r>
          </w:p>
          <w:p w14:paraId="2A66D98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изучение имеющейся документации (проектной, исполнительной, эксплуатационной, организационно-разрешительной, технической документации на здание (сооружение));</w:t>
            </w:r>
          </w:p>
          <w:p w14:paraId="46B458A0"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анализ конструктивных особенностей здания (сооружения);</w:t>
            </w:r>
          </w:p>
          <w:p w14:paraId="0FB8D5A2"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составление программы работ по техническому освидетельствованию зданий (сооружений);</w:t>
            </w:r>
          </w:p>
          <w:p w14:paraId="40E863B8"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анализ условий эксплуатации и составление плана (программы) работ по техническому освидетельствованию зданий (сооружений);</w:t>
            </w:r>
          </w:p>
          <w:p w14:paraId="2E4668B4"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техническое диагностирование:</w:t>
            </w:r>
          </w:p>
          <w:p w14:paraId="5E2B9994"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а) визуальный и измерительный контроль; наружный осмотр, </w:t>
            </w:r>
            <w:r w:rsidRPr="007A3E75">
              <w:rPr>
                <w:rFonts w:ascii="Times New Roman" w:hAnsi="Times New Roman"/>
                <w:sz w:val="24"/>
                <w:szCs w:val="24"/>
              </w:rPr>
              <w:lastRenderedPageBreak/>
              <w:t>измерения и контроль элементов металлоконструкций;</w:t>
            </w:r>
          </w:p>
          <w:p w14:paraId="49AFBAF3"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б) определение действующих повреждающих факторов и восприимчивости материалов здания (сооружения) к механизмам повреждения;</w:t>
            </w:r>
          </w:p>
          <w:p w14:paraId="75A3E39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г) оценку качества соединений элементов (при наличии);</w:t>
            </w:r>
          </w:p>
          <w:p w14:paraId="2B5F774B"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087044C0"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е) неразрушающий контроль или разрушающий контроль металла и сварных соединений зданий (сооружений) (при наличии);</w:t>
            </w:r>
          </w:p>
          <w:p w14:paraId="560A3EA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62139D9C"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и) расчётные и аналитические процедуры оценки и прогнозирования состояния здания (сооружения), включающие анализ режимов эксплуатации и исследование напряжённо-деформированного состояния;</w:t>
            </w:r>
          </w:p>
          <w:p w14:paraId="259241F0"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к) выборочные расчёты и определение остаточного ресурса (срока службы);</w:t>
            </w:r>
          </w:p>
          <w:p w14:paraId="76F86CF9"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оформление протоколов и формуляров по результатам диагностирования;</w:t>
            </w:r>
          </w:p>
          <w:p w14:paraId="33799607"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анализ данных, полученных в результате диагностирования;</w:t>
            </w:r>
          </w:p>
          <w:p w14:paraId="5A7D50E6"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составление итогового документа (Акта) по результатам диагностирования с выводами и рекомендациями;</w:t>
            </w:r>
          </w:p>
          <w:p w14:paraId="149576E7"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выполнение записи, содержащей необходимые сведения по результатам технического освидетельствования в соответствующем разделе паспорта на здание (сооружение),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w:t>
            </w:r>
          </w:p>
          <w:p w14:paraId="44FF2C3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 выполнение иных работ, предусмотренных требованиями п. 4 ст. 55.25 Градостроительного кодекса РФ от 29.12.2004 № 190-ФЗ с учётом введённых в действие последних изменений на дату проведения работ, п. 1 ч.1 ст. 43 Федерального закона от 30.12.2009 № 384-ФЗ </w:t>
            </w:r>
            <w:r w:rsidRPr="007A3E75">
              <w:rPr>
                <w:rFonts w:ascii="Times New Roman" w:hAnsi="Times New Roman"/>
                <w:sz w:val="24"/>
                <w:szCs w:val="24"/>
              </w:rPr>
              <w:lastRenderedPageBreak/>
              <w:t xml:space="preserve">«Технический регламент о безопасности зданий и сооружений» с учётом введённых в действие последних изменений на дату проведения работ. </w:t>
            </w:r>
          </w:p>
        </w:tc>
      </w:tr>
      <w:tr w:rsidR="007A3E75" w:rsidRPr="006F257E" w14:paraId="21784DA9" w14:textId="77777777" w:rsidTr="007A3E75">
        <w:trPr>
          <w:trHeight w:val="165"/>
        </w:trPr>
        <w:tc>
          <w:tcPr>
            <w:tcW w:w="10456" w:type="dxa"/>
            <w:gridSpan w:val="2"/>
          </w:tcPr>
          <w:p w14:paraId="25FBF4C5" w14:textId="77777777" w:rsidR="007A3E75" w:rsidRPr="007A3E75" w:rsidRDefault="007A3E75" w:rsidP="007A3E75">
            <w:pPr>
              <w:numPr>
                <w:ilvl w:val="0"/>
                <w:numId w:val="49"/>
              </w:numPr>
              <w:spacing w:after="0" w:line="240" w:lineRule="auto"/>
              <w:rPr>
                <w:rFonts w:ascii="Times New Roman" w:hAnsi="Times New Roman"/>
                <w:b/>
                <w:sz w:val="24"/>
                <w:szCs w:val="24"/>
              </w:rPr>
            </w:pPr>
            <w:r w:rsidRPr="007A3E75">
              <w:rPr>
                <w:rFonts w:ascii="Times New Roman" w:hAnsi="Times New Roman"/>
                <w:b/>
                <w:sz w:val="24"/>
                <w:szCs w:val="24"/>
              </w:rPr>
              <w:lastRenderedPageBreak/>
              <w:t>Исходные данные для работ</w:t>
            </w:r>
          </w:p>
          <w:p w14:paraId="4DE9E80E" w14:textId="77777777" w:rsidR="007A3E75" w:rsidRPr="007A3E75" w:rsidRDefault="007A3E75" w:rsidP="007A3E75">
            <w:pPr>
              <w:ind w:left="360"/>
              <w:rPr>
                <w:rFonts w:ascii="Times New Roman" w:hAnsi="Times New Roman"/>
                <w:b/>
                <w:sz w:val="24"/>
                <w:szCs w:val="24"/>
              </w:rPr>
            </w:pPr>
          </w:p>
        </w:tc>
      </w:tr>
      <w:tr w:rsidR="007A3E75" w:rsidRPr="006F257E" w14:paraId="667D34EE" w14:textId="77777777" w:rsidTr="007A3E75">
        <w:trPr>
          <w:trHeight w:val="240"/>
        </w:trPr>
        <w:tc>
          <w:tcPr>
            <w:tcW w:w="2802" w:type="dxa"/>
          </w:tcPr>
          <w:p w14:paraId="1F480771" w14:textId="77777777" w:rsidR="007A3E75" w:rsidRPr="007A3E75" w:rsidRDefault="007A3E75" w:rsidP="007A3E75">
            <w:pPr>
              <w:ind w:right="9"/>
              <w:rPr>
                <w:rFonts w:ascii="Times New Roman" w:hAnsi="Times New Roman"/>
                <w:sz w:val="24"/>
                <w:szCs w:val="24"/>
              </w:rPr>
            </w:pPr>
            <w:r w:rsidRPr="007A3E75">
              <w:rPr>
                <w:rFonts w:ascii="Times New Roman" w:hAnsi="Times New Roman"/>
                <w:sz w:val="24"/>
                <w:szCs w:val="24"/>
              </w:rPr>
              <w:t xml:space="preserve">2.1. Заказчик предоставляет следующие исходные данные и документы </w:t>
            </w:r>
          </w:p>
        </w:tc>
        <w:tc>
          <w:tcPr>
            <w:tcW w:w="7654" w:type="dxa"/>
          </w:tcPr>
          <w:p w14:paraId="295232A0"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Проектную (при наличии) и эксплуатационную документацию, предыдущие ЭПБ (при наличии) на здания (сооружения), необходимую для проведения работ по техническому освидетельствованию (ЭПБ, О).</w:t>
            </w:r>
          </w:p>
          <w:p w14:paraId="516CDCEB"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В срок, согласованный с экспертной организацией, выдаёт допуск для проведения соответствующих работ, предусмотренных ТЗ, на объект.</w:t>
            </w:r>
          </w:p>
          <w:p w14:paraId="5864176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Принимает участие в проведении технического освидетельствования с предоставлением ответственного за исправное состояние и безопасную эксплуатацию здания (сооружения) и ответственного за осуществление производственного контроля за безопасной эксплуатацией данных объектов недвижимости. </w:t>
            </w:r>
          </w:p>
          <w:p w14:paraId="12E3E507"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Предоставляет все данные о проведённых ранее экспертизах промышленной безопасности, внесённых в Реестр соответствующего органа Ростехнадзора и обследованиях дымовых труб (при наличии).</w:t>
            </w:r>
          </w:p>
          <w:p w14:paraId="4BD60001"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По запросу экспертной организации предоставляет копии следующих документов:</w:t>
            </w:r>
          </w:p>
          <w:p w14:paraId="6BCB049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проведению экспертизы промышленной безопасности соответствующего здания. </w:t>
            </w:r>
          </w:p>
        </w:tc>
      </w:tr>
      <w:tr w:rsidR="007A3E75" w:rsidRPr="006F257E" w14:paraId="43FC71D0" w14:textId="77777777" w:rsidTr="007A3E75">
        <w:trPr>
          <w:trHeight w:val="240"/>
        </w:trPr>
        <w:tc>
          <w:tcPr>
            <w:tcW w:w="10456" w:type="dxa"/>
            <w:gridSpan w:val="2"/>
          </w:tcPr>
          <w:p w14:paraId="6C648153" w14:textId="77777777" w:rsidR="007A3E75" w:rsidRPr="007A3E75" w:rsidRDefault="007A3E75" w:rsidP="007A3E75">
            <w:pPr>
              <w:numPr>
                <w:ilvl w:val="0"/>
                <w:numId w:val="49"/>
              </w:numPr>
              <w:spacing w:after="0" w:line="240" w:lineRule="auto"/>
              <w:rPr>
                <w:rFonts w:ascii="Times New Roman" w:hAnsi="Times New Roman"/>
                <w:b/>
                <w:sz w:val="24"/>
                <w:szCs w:val="24"/>
              </w:rPr>
            </w:pPr>
            <w:r w:rsidRPr="007A3E75">
              <w:rPr>
                <w:rFonts w:ascii="Times New Roman" w:hAnsi="Times New Roman"/>
                <w:b/>
                <w:sz w:val="24"/>
                <w:szCs w:val="24"/>
              </w:rPr>
              <w:t xml:space="preserve">Требования к  порядку  и срокам проведения работ </w:t>
            </w:r>
          </w:p>
          <w:p w14:paraId="66C23873" w14:textId="77777777" w:rsidR="007A3E75" w:rsidRPr="007A3E75" w:rsidRDefault="007A3E75" w:rsidP="007A3E75">
            <w:pPr>
              <w:ind w:left="360"/>
              <w:rPr>
                <w:rFonts w:ascii="Times New Roman" w:hAnsi="Times New Roman"/>
                <w:b/>
                <w:sz w:val="24"/>
                <w:szCs w:val="24"/>
              </w:rPr>
            </w:pPr>
          </w:p>
        </w:tc>
      </w:tr>
      <w:tr w:rsidR="007A3E75" w:rsidRPr="006F257E" w14:paraId="7644B2FB" w14:textId="77777777" w:rsidTr="007A3E75">
        <w:trPr>
          <w:trHeight w:val="240"/>
        </w:trPr>
        <w:tc>
          <w:tcPr>
            <w:tcW w:w="10456" w:type="dxa"/>
            <w:gridSpan w:val="2"/>
          </w:tcPr>
          <w:p w14:paraId="46A710D4"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Проведение экспертизы промышленной безопасности на здание и обследования дымовой трубы  в соответствии с требованиями действующей нормативно-технической документации, отражённой в разделе 1, п.1.3 настоящего ТЗ:</w:t>
            </w:r>
          </w:p>
          <w:p w14:paraId="123D6DC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59AA5B0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анализ документации, относящейся к зданию (сооружению) (включая акты расследования аварий и инцидентов, связанных с эксплуатацией здания (сооружения), заключения ЭПБ ранее проводимых экспертиз (при наличии)) и режимам эксплуатации дымовых труб (при наличии);</w:t>
            </w:r>
          </w:p>
          <w:p w14:paraId="77737B5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осмотр здания (сооружения);</w:t>
            </w:r>
          </w:p>
          <w:p w14:paraId="24501B0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lastRenderedPageBreak/>
              <w:t>- расчётные и аналитические процедуры оценки и прогнозирования технического состояния здания (сооружения);</w:t>
            </w:r>
          </w:p>
          <w:p w14:paraId="302A2553"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проведение экспертизы промышленной безопасности, по результатам диагностирования;</w:t>
            </w:r>
          </w:p>
          <w:p w14:paraId="5BE6C10F"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оформление Заключения экспертизы промышленной безопасности и Акта (Отчёта) по результатам проведённого технического диагностирования;</w:t>
            </w:r>
          </w:p>
          <w:p w14:paraId="3E894978"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 подготовка пакета документов для сдачи заключения экспертизы промышленной безопасности в территориальный орган Ростехнадзора.  </w:t>
            </w:r>
          </w:p>
          <w:p w14:paraId="33D46573" w14:textId="77777777" w:rsidR="007A3E75" w:rsidRPr="007A3E75" w:rsidRDefault="007A3E75" w:rsidP="007A3E75">
            <w:pPr>
              <w:jc w:val="both"/>
              <w:rPr>
                <w:rFonts w:ascii="Times New Roman" w:hAnsi="Times New Roman"/>
                <w:b/>
                <w:sz w:val="24"/>
                <w:szCs w:val="24"/>
              </w:rPr>
            </w:pPr>
            <w:r w:rsidRPr="007A3E75">
              <w:rPr>
                <w:rFonts w:ascii="Times New Roman" w:hAnsi="Times New Roman"/>
                <w:b/>
                <w:sz w:val="24"/>
                <w:szCs w:val="24"/>
              </w:rPr>
              <w:t>Срок выполнения работ пообъектно не должен превышать 10 календарных дней с даты готовности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7A3E75" w:rsidRPr="006F257E" w14:paraId="1CD07790" w14:textId="77777777" w:rsidTr="007A3E75">
        <w:trPr>
          <w:trHeight w:val="240"/>
        </w:trPr>
        <w:tc>
          <w:tcPr>
            <w:tcW w:w="10456" w:type="dxa"/>
            <w:gridSpan w:val="2"/>
          </w:tcPr>
          <w:p w14:paraId="44934EF4" w14:textId="77777777" w:rsidR="007A3E75" w:rsidRPr="007A3E75" w:rsidRDefault="007A3E75" w:rsidP="007A3E75">
            <w:pPr>
              <w:numPr>
                <w:ilvl w:val="0"/>
                <w:numId w:val="49"/>
              </w:numPr>
              <w:spacing w:after="0" w:line="240" w:lineRule="auto"/>
              <w:rPr>
                <w:rFonts w:ascii="Times New Roman" w:hAnsi="Times New Roman"/>
                <w:b/>
                <w:sz w:val="24"/>
                <w:szCs w:val="24"/>
              </w:rPr>
            </w:pPr>
            <w:r w:rsidRPr="007A3E75">
              <w:rPr>
                <w:rFonts w:ascii="Times New Roman" w:hAnsi="Times New Roman"/>
                <w:b/>
                <w:sz w:val="24"/>
                <w:szCs w:val="24"/>
              </w:rPr>
              <w:lastRenderedPageBreak/>
              <w:t>Требования к потенциальному участнику</w:t>
            </w:r>
          </w:p>
          <w:p w14:paraId="6248C593" w14:textId="77777777" w:rsidR="007A3E75" w:rsidRPr="007A3E75" w:rsidRDefault="007A3E75" w:rsidP="007A3E75">
            <w:pPr>
              <w:ind w:left="360"/>
              <w:rPr>
                <w:rFonts w:ascii="Times New Roman" w:hAnsi="Times New Roman"/>
                <w:b/>
                <w:sz w:val="24"/>
                <w:szCs w:val="24"/>
              </w:rPr>
            </w:pPr>
          </w:p>
        </w:tc>
      </w:tr>
      <w:tr w:rsidR="007A3E75" w:rsidRPr="006F257E" w14:paraId="7F815DD6" w14:textId="77777777" w:rsidTr="007A3E75">
        <w:trPr>
          <w:trHeight w:val="240"/>
        </w:trPr>
        <w:tc>
          <w:tcPr>
            <w:tcW w:w="10456" w:type="dxa"/>
            <w:gridSpan w:val="2"/>
          </w:tcPr>
          <w:p w14:paraId="04879D04"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Наличие аккредитации участника в Системе оценки соответствия в области промышленной безопасности (предоставить копию СРО, заверенную руководителем участника).</w:t>
            </w:r>
          </w:p>
          <w:p w14:paraId="619F63CA"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Наличие действующего полиса страхования  на деятельность участника в области экспертизы промышленной безопасности</w:t>
            </w:r>
            <w:r w:rsidRPr="007A3E75">
              <w:rPr>
                <w:rFonts w:ascii="Times New Roman" w:hAnsi="Times New Roman"/>
                <w:color w:val="373737"/>
                <w:sz w:val="24"/>
                <w:szCs w:val="24"/>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7A3E75">
              <w:rPr>
                <w:rFonts w:ascii="Times New Roman" w:hAnsi="Times New Roman"/>
                <w:sz w:val="24"/>
                <w:szCs w:val="24"/>
              </w:rPr>
              <w:t xml:space="preserve"> (предоставить копию Полиса, заверенную руководителем участника).</w:t>
            </w:r>
          </w:p>
          <w:p w14:paraId="3AC42535"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1D44084"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Ростехнадзором (предоставить копию, заверенную руководителем участника). </w:t>
            </w:r>
          </w:p>
          <w:p w14:paraId="16BBCEC3"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
          <w:p w14:paraId="3DF7DB44"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68A3A408"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sz w:val="24"/>
                <w:szCs w:val="24"/>
              </w:rPr>
              <w:t xml:space="preserve">Наличие действующей аттестации на руководителя и руководителя работ экспертной организации по проверке знаний в области промышленной безопасности в объёме, соответствующем должностным обязанностям (предоставить копии протоколов заседания </w:t>
            </w:r>
            <w:r w:rsidRPr="007A3E75">
              <w:rPr>
                <w:rFonts w:ascii="Times New Roman" w:hAnsi="Times New Roman"/>
                <w:sz w:val="24"/>
                <w:szCs w:val="24"/>
              </w:rPr>
              <w:lastRenderedPageBreak/>
              <w:t>территориальной  аттестационной комиссии Ростехнадзора, заверенные руководителем участника).</w:t>
            </w:r>
          </w:p>
          <w:p w14:paraId="68D8A90F" w14:textId="77777777" w:rsidR="007A3E75" w:rsidRPr="007A3E75" w:rsidRDefault="007A3E75" w:rsidP="007A3E75">
            <w:pPr>
              <w:ind w:left="284"/>
              <w:jc w:val="both"/>
              <w:rPr>
                <w:rFonts w:ascii="Times New Roman" w:hAnsi="Times New Roman"/>
                <w:sz w:val="24"/>
                <w:szCs w:val="24"/>
              </w:rPr>
            </w:pPr>
          </w:p>
          <w:p w14:paraId="5ADAA2B4" w14:textId="77777777" w:rsidR="007A3E75" w:rsidRPr="007A3E75" w:rsidRDefault="007A3E75" w:rsidP="007A3E75">
            <w:pPr>
              <w:numPr>
                <w:ilvl w:val="0"/>
                <w:numId w:val="46"/>
              </w:numPr>
              <w:spacing w:after="0" w:line="240" w:lineRule="auto"/>
              <w:ind w:left="284" w:hanging="284"/>
              <w:jc w:val="both"/>
              <w:rPr>
                <w:rFonts w:ascii="Times New Roman" w:hAnsi="Times New Roman"/>
                <w:sz w:val="24"/>
                <w:szCs w:val="24"/>
              </w:rPr>
            </w:pPr>
            <w:r w:rsidRPr="007A3E75">
              <w:rPr>
                <w:rFonts w:ascii="Times New Roman" w:hAnsi="Times New Roman"/>
                <w:b/>
                <w:sz w:val="24"/>
                <w:szCs w:val="24"/>
              </w:rPr>
              <w:t>При заключении договора экспертная организация обязана приложить к договору согласованный с Заказчиком график производства работ пообъектно и Расчёт окончательной стоимости оказания услуг пообъектно с выводом итоговой суммы.</w:t>
            </w:r>
          </w:p>
          <w:p w14:paraId="10A0AFB5" w14:textId="77777777" w:rsidR="007A3E75" w:rsidRPr="007A3E75" w:rsidRDefault="007A3E75" w:rsidP="007A3E75">
            <w:pPr>
              <w:jc w:val="both"/>
              <w:rPr>
                <w:rFonts w:ascii="Times New Roman" w:hAnsi="Times New Roman"/>
                <w:sz w:val="24"/>
                <w:szCs w:val="24"/>
              </w:rPr>
            </w:pPr>
          </w:p>
        </w:tc>
      </w:tr>
      <w:tr w:rsidR="007A3E75" w:rsidRPr="006F257E" w14:paraId="291E0C72" w14:textId="77777777" w:rsidTr="007A3E75">
        <w:trPr>
          <w:trHeight w:val="315"/>
        </w:trPr>
        <w:tc>
          <w:tcPr>
            <w:tcW w:w="10456" w:type="dxa"/>
            <w:gridSpan w:val="2"/>
          </w:tcPr>
          <w:p w14:paraId="20F9C598" w14:textId="77777777" w:rsidR="007A3E75" w:rsidRPr="007A3E75" w:rsidRDefault="007A3E75" w:rsidP="007A3E75">
            <w:pPr>
              <w:numPr>
                <w:ilvl w:val="0"/>
                <w:numId w:val="49"/>
              </w:numPr>
              <w:spacing w:after="0" w:line="240" w:lineRule="auto"/>
              <w:jc w:val="both"/>
              <w:rPr>
                <w:rFonts w:ascii="Times New Roman" w:hAnsi="Times New Roman"/>
                <w:b/>
                <w:sz w:val="24"/>
                <w:szCs w:val="24"/>
              </w:rPr>
            </w:pPr>
            <w:r w:rsidRPr="007A3E75">
              <w:rPr>
                <w:rFonts w:ascii="Times New Roman" w:hAnsi="Times New Roman"/>
                <w:b/>
                <w:sz w:val="24"/>
                <w:szCs w:val="24"/>
              </w:rPr>
              <w:lastRenderedPageBreak/>
              <w:t>Особые требования к проведению работ</w:t>
            </w:r>
          </w:p>
        </w:tc>
      </w:tr>
      <w:tr w:rsidR="007A3E75" w:rsidRPr="006F257E" w14:paraId="3997A81B" w14:textId="77777777" w:rsidTr="007A3E75">
        <w:trPr>
          <w:trHeight w:val="360"/>
        </w:trPr>
        <w:tc>
          <w:tcPr>
            <w:tcW w:w="2802" w:type="dxa"/>
          </w:tcPr>
          <w:p w14:paraId="00D03C0C"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t>5.1. Требование к подаче заключения ЭПБ в территориальный орган Ростехнадзора и получение уведомления</w:t>
            </w:r>
          </w:p>
        </w:tc>
        <w:tc>
          <w:tcPr>
            <w:tcW w:w="7654" w:type="dxa"/>
          </w:tcPr>
          <w:p w14:paraId="4F9C488A"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Подача заключения экспертизы промышленной безопасности на здание в территориальный орган Ростехнадзора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в части касающейся. 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
        </w:tc>
      </w:tr>
      <w:tr w:rsidR="007A3E75" w:rsidRPr="006F257E" w14:paraId="2C7200CE" w14:textId="77777777" w:rsidTr="007A3E75">
        <w:trPr>
          <w:trHeight w:val="525"/>
        </w:trPr>
        <w:tc>
          <w:tcPr>
            <w:tcW w:w="2802" w:type="dxa"/>
          </w:tcPr>
          <w:p w14:paraId="0A18EE2D"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t>5.2. Состав отчетных материалов</w:t>
            </w:r>
          </w:p>
        </w:tc>
        <w:tc>
          <w:tcPr>
            <w:tcW w:w="7654" w:type="dxa"/>
          </w:tcPr>
          <w:p w14:paraId="7975EA11"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1.  Уведомление о внесении заключения экспертизы промышленной безопасности в Реестр территориального органа Ростехнадзора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3BA19772"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 xml:space="preserve">2. Электронная версия заключения ЭПБ и Акта (Отчёта) по результатам проведённого технического диагностирования на </w:t>
            </w:r>
            <w:r w:rsidRPr="007A3E75">
              <w:rPr>
                <w:rFonts w:ascii="Times New Roman" w:hAnsi="Times New Roman"/>
                <w:sz w:val="24"/>
                <w:szCs w:val="24"/>
                <w:lang w:val="en-US"/>
              </w:rPr>
              <w:t>CD</w:t>
            </w:r>
            <w:r w:rsidRPr="007A3E75">
              <w:rPr>
                <w:rFonts w:ascii="Times New Roman" w:hAnsi="Times New Roman"/>
                <w:sz w:val="24"/>
                <w:szCs w:val="24"/>
              </w:rPr>
              <w:t>\</w:t>
            </w:r>
            <w:r w:rsidRPr="007A3E75">
              <w:rPr>
                <w:rFonts w:ascii="Times New Roman" w:hAnsi="Times New Roman"/>
                <w:sz w:val="24"/>
                <w:szCs w:val="24"/>
                <w:lang w:val="en-US"/>
              </w:rPr>
              <w:t>DVD</w:t>
            </w:r>
            <w:r w:rsidRPr="007A3E75">
              <w:rPr>
                <w:rFonts w:ascii="Times New Roman" w:hAnsi="Times New Roman"/>
                <w:sz w:val="24"/>
                <w:szCs w:val="24"/>
              </w:rPr>
              <w:t xml:space="preserve"> – диске – 1 экз. Копия заключения ЭПБ и Акта (Отчёта) по результатам проведённого технического диагностирования - 1 экз.</w:t>
            </w:r>
          </w:p>
          <w:p w14:paraId="413BC143" w14:textId="77777777" w:rsidR="007A3E75" w:rsidRPr="007A3E75" w:rsidRDefault="007A3E75" w:rsidP="007A3E75">
            <w:pPr>
              <w:jc w:val="both"/>
              <w:rPr>
                <w:rFonts w:ascii="Times New Roman" w:hAnsi="Times New Roman"/>
                <w:sz w:val="24"/>
                <w:szCs w:val="24"/>
              </w:rPr>
            </w:pPr>
            <w:r w:rsidRPr="007A3E75">
              <w:rPr>
                <w:rFonts w:ascii="Times New Roman" w:hAnsi="Times New Roman"/>
                <w:sz w:val="24"/>
                <w:szCs w:val="24"/>
              </w:rPr>
              <w:t>3. Осуществление заверенной за подписью эксперта и печатью экспертной организации записи результатов технического освидетельствования в каждом эксплуатационном паспорте освидетельствованного здания (сооружения) в соответствии с разделом 1, п.1.2 настоящего технического задания.</w:t>
            </w:r>
          </w:p>
        </w:tc>
      </w:tr>
      <w:tr w:rsidR="007A3E75" w:rsidRPr="006F257E" w14:paraId="06285E8B" w14:textId="77777777" w:rsidTr="007A3E75">
        <w:trPr>
          <w:trHeight w:val="385"/>
        </w:trPr>
        <w:tc>
          <w:tcPr>
            <w:tcW w:w="10456" w:type="dxa"/>
            <w:gridSpan w:val="2"/>
            <w:vAlign w:val="center"/>
          </w:tcPr>
          <w:p w14:paraId="2C95B408" w14:textId="77777777" w:rsidR="007A3E75" w:rsidRPr="007A3E75" w:rsidRDefault="007A3E75" w:rsidP="007A3E75">
            <w:pPr>
              <w:rPr>
                <w:rFonts w:ascii="Times New Roman" w:hAnsi="Times New Roman"/>
                <w:b/>
                <w:sz w:val="24"/>
                <w:szCs w:val="24"/>
              </w:rPr>
            </w:pPr>
            <w:r w:rsidRPr="007A3E75">
              <w:rPr>
                <w:rFonts w:ascii="Times New Roman" w:hAnsi="Times New Roman"/>
                <w:b/>
                <w:sz w:val="24"/>
                <w:szCs w:val="24"/>
              </w:rPr>
              <w:t>6. Требования к стоимости работ и порядку расчёта за выполненные работы</w:t>
            </w:r>
          </w:p>
        </w:tc>
      </w:tr>
      <w:tr w:rsidR="007A3E75" w:rsidRPr="006F257E" w14:paraId="0168C4F8" w14:textId="77777777" w:rsidTr="007A3E75">
        <w:trPr>
          <w:trHeight w:val="531"/>
        </w:trPr>
        <w:tc>
          <w:tcPr>
            <w:tcW w:w="2802" w:type="dxa"/>
          </w:tcPr>
          <w:p w14:paraId="55BFA07C"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t>6.1. Начальная максимальная</w:t>
            </w:r>
          </w:p>
          <w:p w14:paraId="337C9269"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lastRenderedPageBreak/>
              <w:t>стоимость работ</w:t>
            </w:r>
          </w:p>
        </w:tc>
        <w:tc>
          <w:tcPr>
            <w:tcW w:w="7654" w:type="dxa"/>
          </w:tcPr>
          <w:p w14:paraId="4D09860F"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lastRenderedPageBreak/>
              <w:t xml:space="preserve">Общая начальная максимальная стоимость работ –  580 000  руб., </w:t>
            </w:r>
          </w:p>
        </w:tc>
      </w:tr>
      <w:tr w:rsidR="007A3E75" w:rsidRPr="006F257E" w14:paraId="218CEFD3" w14:textId="77777777" w:rsidTr="007A3E75">
        <w:trPr>
          <w:trHeight w:val="525"/>
        </w:trPr>
        <w:tc>
          <w:tcPr>
            <w:tcW w:w="2802" w:type="dxa"/>
          </w:tcPr>
          <w:p w14:paraId="2B591791" w14:textId="77777777" w:rsidR="007A3E75" w:rsidRPr="007A3E75" w:rsidRDefault="007A3E75" w:rsidP="007A3E75">
            <w:pPr>
              <w:rPr>
                <w:rFonts w:ascii="Times New Roman" w:hAnsi="Times New Roman"/>
                <w:sz w:val="24"/>
                <w:szCs w:val="24"/>
              </w:rPr>
            </w:pPr>
            <w:r w:rsidRPr="007A3E75">
              <w:rPr>
                <w:rFonts w:ascii="Times New Roman" w:hAnsi="Times New Roman"/>
                <w:sz w:val="24"/>
                <w:szCs w:val="24"/>
              </w:rPr>
              <w:t>6.2. Порядок расчёта</w:t>
            </w:r>
          </w:p>
        </w:tc>
        <w:tc>
          <w:tcPr>
            <w:tcW w:w="7654" w:type="dxa"/>
          </w:tcPr>
          <w:p w14:paraId="278FC1C0" w14:textId="43273684" w:rsidR="008E3984" w:rsidRPr="005B276E" w:rsidRDefault="008E3984" w:rsidP="008E3984">
            <w:pPr>
              <w:jc w:val="both"/>
              <w:rPr>
                <w:rFonts w:ascii="Times New Roman" w:hAnsi="Times New Roman"/>
                <w:sz w:val="22"/>
                <w:szCs w:val="22"/>
              </w:rPr>
            </w:pPr>
            <w:r w:rsidRPr="005B276E">
              <w:rPr>
                <w:rFonts w:ascii="Times New Roman" w:hAnsi="Times New Roman"/>
                <w:sz w:val="22"/>
                <w:szCs w:val="22"/>
              </w:rPr>
              <w:t xml:space="preserve">Авансирование в размере </w:t>
            </w:r>
            <w:r w:rsidR="00D14A5D">
              <w:rPr>
                <w:rFonts w:ascii="Times New Roman" w:hAnsi="Times New Roman"/>
                <w:sz w:val="22"/>
                <w:szCs w:val="22"/>
              </w:rPr>
              <w:t>1</w:t>
            </w:r>
            <w:r w:rsidRPr="005B276E">
              <w:rPr>
                <w:rFonts w:ascii="Times New Roman" w:hAnsi="Times New Roman"/>
                <w:sz w:val="22"/>
                <w:szCs w:val="22"/>
              </w:rPr>
              <w:t>0% договорной стоимости.</w:t>
            </w:r>
          </w:p>
          <w:p w14:paraId="0CAB4544" w14:textId="3514FBEE" w:rsidR="007A3E75" w:rsidRPr="007A3E75" w:rsidRDefault="007A3E75" w:rsidP="00D14A5D">
            <w:pPr>
              <w:jc w:val="both"/>
              <w:rPr>
                <w:rFonts w:ascii="Times New Roman" w:hAnsi="Times New Roman"/>
                <w:sz w:val="24"/>
                <w:szCs w:val="24"/>
              </w:rPr>
            </w:pPr>
            <w:r w:rsidRPr="007A3E75">
              <w:rPr>
                <w:rFonts w:ascii="Times New Roman" w:hAnsi="Times New Roman"/>
                <w:sz w:val="24"/>
                <w:szCs w:val="24"/>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w:t>
            </w:r>
            <w:r w:rsidR="00D14A5D">
              <w:rPr>
                <w:rFonts w:ascii="Times New Roman" w:hAnsi="Times New Roman"/>
                <w:sz w:val="24"/>
                <w:szCs w:val="24"/>
              </w:rPr>
              <w:t>9</w:t>
            </w:r>
            <w:r w:rsidRPr="007A3E75">
              <w:rPr>
                <w:rFonts w:ascii="Times New Roman" w:hAnsi="Times New Roman"/>
                <w:sz w:val="24"/>
                <w:szCs w:val="24"/>
              </w:rPr>
              <w:t>0% договорной стоимости, либо при закрытии работ этапами пообъектно с предоставлением необходимых бухгалтерских документов и подписанных обеими сторонами в установленном порядке.</w:t>
            </w:r>
          </w:p>
        </w:tc>
      </w:tr>
    </w:tbl>
    <w:p w14:paraId="2C10C440" w14:textId="55B70920" w:rsidR="00013E35" w:rsidRPr="00091C10" w:rsidRDefault="00013E35" w:rsidP="007A3E75">
      <w:pPr>
        <w:ind w:left="142"/>
        <w:jc w:val="center"/>
      </w:pPr>
    </w:p>
    <w:sectPr w:rsidR="00013E35" w:rsidRPr="00091C10" w:rsidSect="00BA444B">
      <w:footerReference w:type="default" r:id="rId2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8715" w14:textId="77777777" w:rsidR="008E3984" w:rsidRDefault="008E3984" w:rsidP="00BE4551">
      <w:pPr>
        <w:spacing w:after="0" w:line="240" w:lineRule="auto"/>
      </w:pPr>
      <w:r>
        <w:separator/>
      </w:r>
    </w:p>
    <w:p w14:paraId="1287F69D" w14:textId="77777777" w:rsidR="008E3984" w:rsidRDefault="008E3984"/>
  </w:endnote>
  <w:endnote w:type="continuationSeparator" w:id="0">
    <w:p w14:paraId="5303C011" w14:textId="77777777" w:rsidR="008E3984" w:rsidRDefault="008E3984" w:rsidP="00BE4551">
      <w:pPr>
        <w:spacing w:after="0" w:line="240" w:lineRule="auto"/>
      </w:pPr>
      <w:r>
        <w:continuationSeparator/>
      </w:r>
    </w:p>
    <w:p w14:paraId="51EC2A36" w14:textId="77777777" w:rsidR="008E3984" w:rsidRDefault="008E3984"/>
  </w:endnote>
  <w:endnote w:type="continuationNotice" w:id="1">
    <w:p w14:paraId="10B283E5" w14:textId="77777777" w:rsidR="008E3984" w:rsidRDefault="008E3984">
      <w:pPr>
        <w:spacing w:after="0" w:line="240" w:lineRule="auto"/>
      </w:pPr>
    </w:p>
    <w:p w14:paraId="2B7AA51C" w14:textId="77777777" w:rsidR="008E3984" w:rsidRDefault="008E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4FFF4A55" w:rsidR="008E3984" w:rsidRPr="00752053" w:rsidRDefault="008E3984"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AD6451">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54589C26" w:rsidR="008E3984" w:rsidRPr="005B6108" w:rsidRDefault="008E3984"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AD6451">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8E3984" w:rsidRDefault="008E398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8E3984" w:rsidRDefault="008E3984" w:rsidP="006B4A30">
    <w:pPr>
      <w:pStyle w:val="aff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19AAC662" w:rsidR="008E3984" w:rsidRDefault="008E398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AD6451">
      <w:rPr>
        <w:rStyle w:val="afff2"/>
        <w:noProof/>
      </w:rPr>
      <w:t>60</w:t>
    </w:r>
    <w:r>
      <w:rPr>
        <w:rStyle w:val="afff2"/>
      </w:rPr>
      <w:fldChar w:fldCharType="end"/>
    </w:r>
  </w:p>
  <w:p w14:paraId="3D43142C" w14:textId="77777777" w:rsidR="008E3984" w:rsidRDefault="008E3984" w:rsidP="006B4A30">
    <w:pPr>
      <w:pStyle w:val="aff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0EA1ECC4" w:rsidR="008E3984" w:rsidRPr="0028405C" w:rsidRDefault="008E3984"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AD6451">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8E3984" w:rsidRDefault="008E39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6FB6" w14:textId="77777777" w:rsidR="008E3984" w:rsidRDefault="008E3984" w:rsidP="00BE4551">
      <w:pPr>
        <w:spacing w:after="0" w:line="240" w:lineRule="auto"/>
      </w:pPr>
      <w:r>
        <w:separator/>
      </w:r>
    </w:p>
    <w:p w14:paraId="17DC8312" w14:textId="77777777" w:rsidR="008E3984" w:rsidRDefault="008E3984"/>
  </w:footnote>
  <w:footnote w:type="continuationSeparator" w:id="0">
    <w:p w14:paraId="7DBD5E78" w14:textId="77777777" w:rsidR="008E3984" w:rsidRDefault="008E3984" w:rsidP="00BE4551">
      <w:pPr>
        <w:spacing w:after="0" w:line="240" w:lineRule="auto"/>
      </w:pPr>
      <w:r>
        <w:continuationSeparator/>
      </w:r>
    </w:p>
    <w:p w14:paraId="64DE11C3" w14:textId="77777777" w:rsidR="008E3984" w:rsidRDefault="008E3984"/>
  </w:footnote>
  <w:footnote w:type="continuationNotice" w:id="1">
    <w:p w14:paraId="0D45B967" w14:textId="77777777" w:rsidR="008E3984" w:rsidRDefault="008E3984">
      <w:pPr>
        <w:spacing w:after="0" w:line="240" w:lineRule="auto"/>
      </w:pPr>
    </w:p>
    <w:p w14:paraId="46E6563F" w14:textId="77777777" w:rsidR="008E3984" w:rsidRDefault="008E3984"/>
  </w:footnote>
  <w:footnote w:id="2">
    <w:p w14:paraId="42297052" w14:textId="77777777" w:rsidR="008E3984" w:rsidRPr="0061579A" w:rsidRDefault="008E3984"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8E3984" w:rsidRPr="00DD51BA" w:rsidRDefault="008E398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8E3984" w:rsidRPr="00DD51BA" w:rsidRDefault="008E398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8E3984" w:rsidRPr="00877EB5" w:rsidRDefault="008E3984"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8E3984" w:rsidRPr="00DD51BA" w:rsidRDefault="008E398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8E3984" w:rsidRPr="0061579A" w:rsidRDefault="008E3984"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8E3984" w:rsidRPr="0061579A" w:rsidRDefault="008E3984"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8E3984" w:rsidRPr="00883D6A" w:rsidRDefault="008E3984"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8E3984" w:rsidRDefault="008E3984"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8E3984" w:rsidRDefault="008E3984">
      <w:pPr>
        <w:pStyle w:val="affff1"/>
      </w:pPr>
      <w:r>
        <w:rPr>
          <w:rStyle w:val="affe"/>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8E3984" w:rsidRDefault="008E3984">
      <w:pPr>
        <w:pStyle w:val="affff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8E3984" w:rsidRPr="00752053" w:rsidRDefault="008E3984"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8E3984" w:rsidRPr="00FE47AD" w:rsidRDefault="008E3984">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CA1B0E"/>
    <w:multiLevelType w:val="multilevel"/>
    <w:tmpl w:val="8E12D9E6"/>
    <w:lvl w:ilvl="0">
      <w:start w:val="1"/>
      <w:numFmt w:val="decimal"/>
      <w:lvlText w:val="%1."/>
      <w:lvlJc w:val="left"/>
      <w:pPr>
        <w:ind w:left="720" w:hanging="360"/>
      </w:pPr>
    </w:lvl>
    <w:lvl w:ilvl="1">
      <w:start w:val="3"/>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15:restartNumberingAfterBreak="0">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D921F4"/>
    <w:multiLevelType w:val="multilevel"/>
    <w:tmpl w:val="F27048DC"/>
    <w:numStyleLink w:val="a4"/>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6"/>
  </w:num>
  <w:num w:numId="7">
    <w:abstractNumId w:val="37"/>
  </w:num>
  <w:num w:numId="8">
    <w:abstractNumId w:val="8"/>
  </w:num>
  <w:num w:numId="9">
    <w:abstractNumId w:val="11"/>
  </w:num>
  <w:num w:numId="10">
    <w:abstractNumId w:val="22"/>
  </w:num>
  <w:num w:numId="11">
    <w:abstractNumId w:val="5"/>
  </w:num>
  <w:num w:numId="12">
    <w:abstractNumId w:val="23"/>
  </w:num>
  <w:num w:numId="13">
    <w:abstractNumId w:val="6"/>
  </w:num>
  <w:num w:numId="14">
    <w:abstractNumId w:val="2"/>
  </w:num>
  <w:num w:numId="15">
    <w:abstractNumId w:val="30"/>
  </w:num>
  <w:num w:numId="16">
    <w:abstractNumId w:val="10"/>
  </w:num>
  <w:num w:numId="17">
    <w:abstractNumId w:val="14"/>
  </w:num>
  <w:num w:numId="18">
    <w:abstractNumId w:val="36"/>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5"/>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3"/>
  </w:num>
  <w:num w:numId="46">
    <w:abstractNumId w:val="7"/>
  </w:num>
  <w:num w:numId="47">
    <w:abstractNumId w:val="0"/>
  </w:num>
  <w:num w:numId="48">
    <w:abstractNumId w:val="31"/>
  </w:num>
  <w:num w:numId="49">
    <w:abstractNumId w:val="16"/>
  </w:num>
  <w:num w:numId="50">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Заголовок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E4CA5516A06F514EF90CBD956D470A48088328D4BAC64BD40A50E208F0D3549756EA57665849352ADoC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4E4CA5516A06F514EF90CBD956D470A48088328D4BAC64BD40A50E208F0D3549756EA57667A8o3K" TargetMode="External"/><Relationship Id="rId17" Type="http://schemas.openxmlformats.org/officeDocument/2006/relationships/hyperlink" Target="https://rts-tende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70719336&amp;sub=200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wpts.vbg.ru" TargetMode="External"/><Relationship Id="rId23" Type="http://schemas.openxmlformats.org/officeDocument/2006/relationships/footer" Target="footer4.xml"/><Relationship Id="rId10" Type="http://schemas.openxmlformats.org/officeDocument/2006/relationships/hyperlink" Target="http://ivo.garant.ru/document?id=70719336&amp;sub=3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70719336&amp;sub=1000" TargetMode="External"/><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D338-2096-4915-BE2B-49484F0E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21574</Words>
  <Characters>122973</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144259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2025-02-27T05:46:00Z</dcterms:modified>
</cp:coreProperties>
</file>